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4D8455" w14:textId="714B8BE3" w:rsidR="00985A4E" w:rsidRPr="002275AD" w:rsidRDefault="0093625E" w:rsidP="002275AD">
      <w:pPr>
        <w:rPr>
          <w:b/>
          <w:lang w:val="ro-RO"/>
        </w:rPr>
      </w:pPr>
      <w:r w:rsidRPr="002275AD">
        <w:rPr>
          <w:b/>
          <w:lang w:val="ro-RO"/>
        </w:rPr>
        <w:t xml:space="preserve">DIRECȚIA </w:t>
      </w:r>
      <w:r w:rsidR="00216301" w:rsidRPr="002275AD">
        <w:rPr>
          <w:b/>
          <w:lang w:val="ro-RO"/>
        </w:rPr>
        <w:t>AFACERI EUROPENE ȘI RELAȚII INTERNAȚIONALE</w:t>
      </w:r>
    </w:p>
    <w:p w14:paraId="02C1716F" w14:textId="15488F8A" w:rsidR="00AE43EB" w:rsidRPr="002275AD" w:rsidRDefault="002275AD" w:rsidP="002275AD">
      <w:pPr>
        <w:jc w:val="right"/>
        <w:rPr>
          <w:b/>
          <w:i/>
          <w:lang w:val="ro-RO"/>
        </w:rPr>
      </w:pPr>
      <w:r>
        <w:rPr>
          <w:b/>
          <w:i/>
          <w:lang w:val="ro-RO"/>
        </w:rPr>
        <w:t>Anexa 1</w:t>
      </w:r>
    </w:p>
    <w:p w14:paraId="52295935" w14:textId="77777777" w:rsidR="00AE43EB" w:rsidRPr="002275AD" w:rsidRDefault="00AE43EB" w:rsidP="002275AD">
      <w:pPr>
        <w:jc w:val="center"/>
        <w:rPr>
          <w:b/>
          <w:i/>
          <w:lang w:val="ro-RO"/>
        </w:rPr>
      </w:pPr>
    </w:p>
    <w:p w14:paraId="3A7189DE" w14:textId="77777777" w:rsidR="00265EC4" w:rsidRPr="002275AD" w:rsidRDefault="00265EC4" w:rsidP="002275AD">
      <w:pPr>
        <w:jc w:val="center"/>
        <w:rPr>
          <w:b/>
          <w:i/>
          <w:lang w:val="ro-RO"/>
        </w:rPr>
      </w:pPr>
    </w:p>
    <w:p w14:paraId="30C2D879" w14:textId="77777777" w:rsidR="00265EC4" w:rsidRPr="002275AD" w:rsidRDefault="00265EC4" w:rsidP="002275AD">
      <w:pPr>
        <w:jc w:val="center"/>
        <w:rPr>
          <w:b/>
          <w:i/>
          <w:sz w:val="40"/>
          <w:szCs w:val="40"/>
          <w:lang w:val="ro-RO"/>
        </w:rPr>
      </w:pPr>
    </w:p>
    <w:p w14:paraId="304D8456" w14:textId="3A236E4E" w:rsidR="00AE43EB" w:rsidRPr="002275AD" w:rsidRDefault="005D4997" w:rsidP="002275AD">
      <w:pPr>
        <w:jc w:val="center"/>
        <w:rPr>
          <w:b/>
          <w:sz w:val="40"/>
          <w:szCs w:val="40"/>
          <w:lang w:val="ro-RO"/>
        </w:rPr>
      </w:pPr>
      <w:r w:rsidRPr="002275AD">
        <w:rPr>
          <w:b/>
          <w:i/>
          <w:sz w:val="40"/>
          <w:szCs w:val="40"/>
          <w:lang w:val="ro-RO"/>
        </w:rPr>
        <w:t xml:space="preserve">                                                                           </w:t>
      </w:r>
      <w:r w:rsidR="0091460E" w:rsidRPr="002275AD">
        <w:rPr>
          <w:b/>
          <w:i/>
          <w:sz w:val="40"/>
          <w:szCs w:val="40"/>
          <w:lang w:val="ro-RO"/>
        </w:rPr>
        <w:t xml:space="preserve">           </w:t>
      </w:r>
    </w:p>
    <w:p w14:paraId="5CF655A2" w14:textId="3A175C87" w:rsidR="00216301" w:rsidRPr="002275AD" w:rsidRDefault="00CC40D4" w:rsidP="002275AD">
      <w:pPr>
        <w:rPr>
          <w:b/>
          <w:sz w:val="40"/>
          <w:szCs w:val="40"/>
          <w:lang w:val="ro-RO"/>
        </w:rPr>
      </w:pPr>
      <w:r w:rsidRPr="002275AD">
        <w:rPr>
          <w:b/>
          <w:sz w:val="40"/>
          <w:szCs w:val="40"/>
          <w:lang w:val="ro-RO"/>
        </w:rPr>
        <w:t>Consultarea publică</w:t>
      </w:r>
      <w:r w:rsidR="00C21ED0" w:rsidRPr="002275AD">
        <w:rPr>
          <w:b/>
          <w:sz w:val="40"/>
          <w:szCs w:val="40"/>
          <w:lang w:val="ro-RO"/>
        </w:rPr>
        <w:t xml:space="preserve"> la nivel național</w:t>
      </w:r>
      <w:r w:rsidRPr="002275AD">
        <w:rPr>
          <w:b/>
          <w:sz w:val="40"/>
          <w:szCs w:val="40"/>
          <w:lang w:val="ro-RO"/>
        </w:rPr>
        <w:t xml:space="preserve"> </w:t>
      </w:r>
      <w:r w:rsidR="00265EC4" w:rsidRPr="002275AD">
        <w:rPr>
          <w:b/>
          <w:sz w:val="40"/>
          <w:szCs w:val="40"/>
          <w:lang w:val="ro-RO"/>
        </w:rPr>
        <w:t>privind</w:t>
      </w:r>
      <w:r w:rsidR="007D3814" w:rsidRPr="002275AD">
        <w:rPr>
          <w:b/>
          <w:sz w:val="40"/>
          <w:szCs w:val="40"/>
          <w:lang w:val="ro-RO"/>
        </w:rPr>
        <w:t xml:space="preserve"> </w:t>
      </w:r>
      <w:r w:rsidR="00D361F4" w:rsidRPr="002275AD">
        <w:rPr>
          <w:b/>
          <w:sz w:val="40"/>
          <w:szCs w:val="40"/>
          <w:lang w:val="ro-RO"/>
        </w:rPr>
        <w:t xml:space="preserve">Propunerii de Directivă a Parlamentului European și a Consiliului UE de renunțare la schimbarea sezonieră a orei și de abrogare a Directivei 2000/84/CE </w:t>
      </w:r>
    </w:p>
    <w:p w14:paraId="233A0698" w14:textId="77777777" w:rsidR="00FC78E0" w:rsidRPr="002275AD" w:rsidRDefault="00FC78E0" w:rsidP="002275AD">
      <w:pPr>
        <w:rPr>
          <w:b/>
          <w:lang w:val="ro-RO"/>
        </w:rPr>
      </w:pPr>
    </w:p>
    <w:p w14:paraId="38658754" w14:textId="77777777" w:rsidR="002275AD" w:rsidRPr="002275AD" w:rsidRDefault="002275AD" w:rsidP="002275AD">
      <w:pPr>
        <w:rPr>
          <w:b/>
          <w:lang w:val="ro-RO"/>
        </w:rPr>
      </w:pPr>
    </w:p>
    <w:p w14:paraId="2A0572F7" w14:textId="77777777" w:rsidR="002275AD" w:rsidRPr="002275AD" w:rsidRDefault="002275AD" w:rsidP="002275AD">
      <w:pPr>
        <w:rPr>
          <w:b/>
          <w:lang w:val="ro-RO"/>
        </w:rPr>
      </w:pPr>
    </w:p>
    <w:p w14:paraId="2E183237" w14:textId="77777777" w:rsidR="002275AD" w:rsidRPr="002275AD" w:rsidRDefault="002275AD" w:rsidP="002275AD">
      <w:pPr>
        <w:rPr>
          <w:b/>
          <w:lang w:val="ro-RO"/>
        </w:rPr>
      </w:pPr>
    </w:p>
    <w:p w14:paraId="627F5DCC" w14:textId="77777777" w:rsidR="00AE43EB" w:rsidRPr="002275AD" w:rsidRDefault="00AE43EB" w:rsidP="002275AD">
      <w:pPr>
        <w:ind w:hanging="9"/>
        <w:rPr>
          <w:lang w:val="ro-RO"/>
        </w:rPr>
      </w:pPr>
    </w:p>
    <w:p w14:paraId="4B3E4E46" w14:textId="77777777" w:rsidR="00AE43EB" w:rsidRPr="002275AD" w:rsidRDefault="00AE43EB" w:rsidP="002275AD">
      <w:pPr>
        <w:ind w:hanging="9"/>
        <w:rPr>
          <w:lang w:val="ro-RO"/>
        </w:rPr>
      </w:pPr>
    </w:p>
    <w:p w14:paraId="304DB43D" w14:textId="77777777" w:rsidR="00AE43EB" w:rsidRPr="002275AD" w:rsidRDefault="00AE43EB" w:rsidP="002275AD">
      <w:pPr>
        <w:ind w:hanging="9"/>
        <w:rPr>
          <w:lang w:val="ro-RO"/>
        </w:rPr>
      </w:pPr>
    </w:p>
    <w:p w14:paraId="300855B6" w14:textId="77777777" w:rsidR="00AE43EB" w:rsidRPr="002275AD" w:rsidRDefault="00AE43EB" w:rsidP="002275AD">
      <w:pPr>
        <w:ind w:hanging="9"/>
        <w:rPr>
          <w:lang w:val="ro-RO"/>
        </w:rPr>
      </w:pPr>
    </w:p>
    <w:p w14:paraId="4ACD00E2" w14:textId="77777777" w:rsidR="00AE43EB" w:rsidRPr="002275AD" w:rsidRDefault="00AE43EB" w:rsidP="002275AD">
      <w:pPr>
        <w:ind w:hanging="9"/>
        <w:rPr>
          <w:lang w:val="ro-RO"/>
        </w:rPr>
      </w:pPr>
    </w:p>
    <w:p w14:paraId="35A7A8CE" w14:textId="77777777" w:rsidR="00AE43EB" w:rsidRPr="002275AD" w:rsidRDefault="00AE43EB" w:rsidP="002275AD">
      <w:pPr>
        <w:ind w:hanging="9"/>
        <w:rPr>
          <w:lang w:val="ro-RO"/>
        </w:rPr>
      </w:pPr>
    </w:p>
    <w:p w14:paraId="7C03C458" w14:textId="77777777" w:rsidR="00AE43EB" w:rsidRPr="002275AD" w:rsidRDefault="00AE43EB" w:rsidP="002275AD">
      <w:pPr>
        <w:ind w:hanging="9"/>
        <w:rPr>
          <w:lang w:val="ro-RO"/>
        </w:rPr>
      </w:pPr>
    </w:p>
    <w:p w14:paraId="3790582F" w14:textId="77777777" w:rsidR="00AE43EB" w:rsidRPr="002275AD" w:rsidRDefault="00AE43EB" w:rsidP="002275AD">
      <w:pPr>
        <w:ind w:hanging="9"/>
        <w:rPr>
          <w:lang w:val="ro-RO"/>
        </w:rPr>
      </w:pPr>
    </w:p>
    <w:p w14:paraId="3793D26D" w14:textId="77777777" w:rsidR="00AE43EB" w:rsidRPr="002275AD" w:rsidRDefault="00AE43EB" w:rsidP="002275AD">
      <w:pPr>
        <w:ind w:hanging="9"/>
        <w:rPr>
          <w:lang w:val="ro-RO"/>
        </w:rPr>
      </w:pPr>
    </w:p>
    <w:p w14:paraId="3CFC60C9" w14:textId="77777777" w:rsidR="00AE43EB" w:rsidRPr="002275AD" w:rsidRDefault="00AE43EB" w:rsidP="002275AD">
      <w:pPr>
        <w:ind w:hanging="9"/>
        <w:rPr>
          <w:lang w:val="ro-RO"/>
        </w:rPr>
      </w:pPr>
    </w:p>
    <w:p w14:paraId="3919D9E9" w14:textId="77777777" w:rsidR="00AE43EB" w:rsidRDefault="00AE43EB" w:rsidP="002275AD">
      <w:pPr>
        <w:ind w:hanging="9"/>
        <w:rPr>
          <w:lang w:val="ro-RO"/>
        </w:rPr>
      </w:pPr>
    </w:p>
    <w:p w14:paraId="0FB0933F" w14:textId="77777777" w:rsidR="002275AD" w:rsidRDefault="002275AD" w:rsidP="002275AD">
      <w:pPr>
        <w:ind w:hanging="9"/>
        <w:rPr>
          <w:lang w:val="ro-RO"/>
        </w:rPr>
      </w:pPr>
    </w:p>
    <w:p w14:paraId="040D8333" w14:textId="77777777" w:rsidR="002275AD" w:rsidRDefault="002275AD" w:rsidP="002275AD">
      <w:pPr>
        <w:ind w:hanging="9"/>
        <w:rPr>
          <w:lang w:val="ro-RO"/>
        </w:rPr>
      </w:pPr>
    </w:p>
    <w:p w14:paraId="2AFAA57A" w14:textId="0F470ECA" w:rsidR="00AE43EB" w:rsidRPr="002275AD" w:rsidRDefault="006B1876" w:rsidP="002275AD">
      <w:pPr>
        <w:ind w:left="1710"/>
        <w:rPr>
          <w:b/>
          <w:lang w:val="ro-RO"/>
        </w:rPr>
      </w:pPr>
      <w:r>
        <w:rPr>
          <w:b/>
          <w:lang w:val="ro-RO"/>
        </w:rPr>
        <w:lastRenderedPageBreak/>
        <w:t>Data:01.02</w:t>
      </w:r>
      <w:r w:rsidR="00AE43EB" w:rsidRPr="002275AD">
        <w:rPr>
          <w:b/>
          <w:lang w:val="ro-RO"/>
        </w:rPr>
        <w:t>.2019</w:t>
      </w:r>
    </w:p>
    <w:p w14:paraId="74FA77E4" w14:textId="77777777" w:rsidR="00AE43EB" w:rsidRPr="002275AD" w:rsidRDefault="00AE43EB" w:rsidP="002275AD">
      <w:pPr>
        <w:ind w:hanging="9"/>
        <w:rPr>
          <w:lang w:val="ro-RO"/>
        </w:rPr>
      </w:pPr>
    </w:p>
    <w:p w14:paraId="5A06F4E6" w14:textId="1F02C280" w:rsidR="00FB2F56" w:rsidRPr="0057145C" w:rsidRDefault="00FB2F56" w:rsidP="0057145C">
      <w:pPr>
        <w:pStyle w:val="ListParagraph"/>
        <w:numPr>
          <w:ilvl w:val="0"/>
          <w:numId w:val="17"/>
        </w:numPr>
        <w:ind w:left="1710"/>
        <w:rPr>
          <w:b/>
          <w:lang w:val="ro-RO"/>
        </w:rPr>
      </w:pPr>
      <w:r w:rsidRPr="0057145C">
        <w:rPr>
          <w:b/>
          <w:lang w:val="ro-RO"/>
        </w:rPr>
        <w:t>Cuvânt înainte</w:t>
      </w:r>
    </w:p>
    <w:p w14:paraId="2EAAFC45" w14:textId="77777777" w:rsidR="00AB13DA" w:rsidRPr="002275AD" w:rsidRDefault="00AB13DA" w:rsidP="002275AD">
      <w:pPr>
        <w:rPr>
          <w:rFonts w:eastAsia="Calibri"/>
          <w:lang w:val="ro-RO"/>
        </w:rPr>
      </w:pPr>
      <w:r w:rsidRPr="002275AD">
        <w:rPr>
          <w:rFonts w:eastAsia="Calibri"/>
          <w:lang w:val="ro-RO"/>
        </w:rPr>
        <w:t xml:space="preserve">De-a lungul timpului, sistemul care impune schimbarea orei de două ori pe an a fost pus din ce în ce mai mult sub semnul întrebării de către cetățeni, de către Parlamentul European și de către un număr din ce în ce mai mare de state membre. Prin urmare, Comisia a analizat dovezile disponibile, care arată că, pentru a se asigura buna funcționare a pieței interne, este important să existe norme armonizate în acest domeniu la nivelul Uniunii. </w:t>
      </w:r>
    </w:p>
    <w:p w14:paraId="709CA4A0" w14:textId="77777777" w:rsidR="00AB13DA" w:rsidRPr="002275AD" w:rsidRDefault="00AB13DA" w:rsidP="002275AD">
      <w:pPr>
        <w:pStyle w:val="CommentText"/>
        <w:spacing w:after="120" w:line="276" w:lineRule="auto"/>
        <w:ind w:left="1701"/>
        <w:jc w:val="both"/>
        <w:rPr>
          <w:rFonts w:ascii="Trebuchet MS" w:hAnsi="Trebuchet MS" w:cs="Arial"/>
          <w:sz w:val="22"/>
          <w:szCs w:val="22"/>
        </w:rPr>
      </w:pPr>
      <w:r w:rsidRPr="002275AD">
        <w:rPr>
          <w:rFonts w:ascii="Trebuchet MS" w:hAnsi="Trebuchet MS" w:cs="Arial"/>
          <w:sz w:val="22"/>
          <w:szCs w:val="22"/>
        </w:rPr>
        <w:t>Directiva 2000/84/CE prevede schimbarea orei, în mod sincronizat, în toate Statele Membre, însă legislația UE permite schimbarea soluției legislative la nivel național.</w:t>
      </w:r>
    </w:p>
    <w:p w14:paraId="0186C613" w14:textId="77777777" w:rsidR="007266FE" w:rsidRPr="002275AD" w:rsidRDefault="007266FE" w:rsidP="002275AD">
      <w:pPr>
        <w:pStyle w:val="CommentText"/>
        <w:spacing w:after="120" w:line="276" w:lineRule="auto"/>
        <w:ind w:left="1701"/>
        <w:jc w:val="both"/>
        <w:rPr>
          <w:rFonts w:ascii="Trebuchet MS" w:hAnsi="Trebuchet MS" w:cs="Arial"/>
          <w:sz w:val="22"/>
          <w:szCs w:val="22"/>
        </w:rPr>
      </w:pPr>
      <w:r w:rsidRPr="002275AD">
        <w:rPr>
          <w:rFonts w:ascii="Trebuchet MS" w:hAnsi="Trebuchet MS" w:cs="Arial"/>
          <w:sz w:val="22"/>
          <w:szCs w:val="22"/>
        </w:rPr>
        <w:t xml:space="preserve">Art. 1 din propunere reglementează </w:t>
      </w:r>
      <w:r w:rsidRPr="002275AD">
        <w:rPr>
          <w:rFonts w:ascii="Trebuchet MS" w:hAnsi="Trebuchet MS"/>
          <w:sz w:val="22"/>
          <w:szCs w:val="22"/>
          <w:shd w:val="clear" w:color="auto" w:fill="FFFFFF"/>
        </w:rPr>
        <w:t>dispozițiile referitoare la orarul de vară</w:t>
      </w:r>
      <w:r w:rsidRPr="002275AD">
        <w:rPr>
          <w:rFonts w:ascii="Trebuchet MS" w:hAnsi="Trebuchet MS" w:cs="Arial"/>
          <w:sz w:val="22"/>
          <w:szCs w:val="22"/>
        </w:rPr>
        <w:t>, SM având posibilitatea alegerii unei ore de vară sau iarnă. Obiectivul art. 1 este de a preveni disfuncționalitățile de pe piața internă, prin a conduce SM către o armonizare, fără de care vor exista disfuncționalități pe piața internă.</w:t>
      </w:r>
    </w:p>
    <w:p w14:paraId="1E3C11E2" w14:textId="3417F4AF" w:rsidR="007266FE" w:rsidRPr="002275AD" w:rsidRDefault="007266FE" w:rsidP="002275AD">
      <w:pPr>
        <w:pStyle w:val="CommentText"/>
        <w:spacing w:after="120" w:line="276" w:lineRule="auto"/>
        <w:ind w:left="1701"/>
        <w:jc w:val="both"/>
        <w:rPr>
          <w:rFonts w:ascii="Trebuchet MS" w:hAnsi="Trebuchet MS" w:cs="Arial"/>
          <w:sz w:val="22"/>
          <w:szCs w:val="22"/>
        </w:rPr>
      </w:pPr>
      <w:r w:rsidRPr="002275AD">
        <w:rPr>
          <w:rFonts w:ascii="Trebuchet MS" w:hAnsi="Trebuchet MS" w:cs="Arial"/>
          <w:sz w:val="22"/>
          <w:szCs w:val="22"/>
        </w:rPr>
        <w:t>Din considerentele propunerii legislative reiese că au fost efectuate studii ale căror  rezultate nu sunt foarte clare, există consultări în curs și unele SM și-au exprimat deja anumite preferințe. Art. 296</w:t>
      </w:r>
      <w:r w:rsidR="00164871">
        <w:rPr>
          <w:rFonts w:ascii="Trebuchet MS" w:hAnsi="Trebuchet MS" w:cs="Arial"/>
          <w:sz w:val="22"/>
          <w:szCs w:val="22"/>
        </w:rPr>
        <w:t xml:space="preserve"> din TFUE</w:t>
      </w:r>
      <w:r w:rsidRPr="002275AD">
        <w:rPr>
          <w:rFonts w:ascii="Trebuchet MS" w:hAnsi="Trebuchet MS" w:cs="Arial"/>
          <w:sz w:val="22"/>
          <w:szCs w:val="22"/>
        </w:rPr>
        <w:t xml:space="preserve"> prevede că un act juridic trebuie să prezinte motivele care stau la baza elaborării sale, aceasta fiind o cerință procedurală clară. Prin urmare, este necesară existența în textul inițiativei a  unui considerent care să fundamenteze și să explice motivele elaborării actului; acest aspect făcând obiectul verificării de către Curtea de Justiție a UE privind proporționalitatea și subsidiaritatea.</w:t>
      </w:r>
    </w:p>
    <w:p w14:paraId="0FFB9974" w14:textId="60CB31DB" w:rsidR="006B1876" w:rsidRPr="006B1876" w:rsidRDefault="00FB2F56" w:rsidP="006B1876">
      <w:pPr>
        <w:rPr>
          <w:rFonts w:cs="Arial"/>
          <w:shd w:val="clear" w:color="auto" w:fill="FFFFFF"/>
          <w:lang w:val="ro-RO"/>
        </w:rPr>
      </w:pPr>
      <w:r w:rsidRPr="006B1876">
        <w:rPr>
          <w:rFonts w:cs="Arial"/>
          <w:shd w:val="clear" w:color="auto" w:fill="FFFFFF"/>
          <w:lang w:val="ro-RO"/>
        </w:rPr>
        <w:t>Text</w:t>
      </w:r>
      <w:r w:rsidR="00AE5A68" w:rsidRPr="006B1876">
        <w:rPr>
          <w:rFonts w:cs="Arial"/>
          <w:shd w:val="clear" w:color="auto" w:fill="FFFFFF"/>
          <w:lang w:val="ro-RO"/>
        </w:rPr>
        <w:t>ul</w:t>
      </w:r>
      <w:r w:rsidRPr="006B1876">
        <w:rPr>
          <w:rFonts w:cs="Arial"/>
          <w:shd w:val="clear" w:color="auto" w:fill="FFFFFF"/>
          <w:lang w:val="ro-RO"/>
        </w:rPr>
        <w:t xml:space="preserve"> proiect</w:t>
      </w:r>
      <w:r w:rsidR="00AE5A68" w:rsidRPr="006B1876">
        <w:rPr>
          <w:rFonts w:cs="Arial"/>
          <w:shd w:val="clear" w:color="auto" w:fill="FFFFFF"/>
          <w:lang w:val="ro-RO"/>
        </w:rPr>
        <w:t xml:space="preserve">ului </w:t>
      </w:r>
      <w:r w:rsidR="0046723D" w:rsidRPr="006B1876">
        <w:rPr>
          <w:rFonts w:cs="Arial"/>
          <w:shd w:val="clear" w:color="auto" w:fill="FFFFFF"/>
          <w:lang w:val="ro-RO"/>
        </w:rPr>
        <w:t>legislativ</w:t>
      </w:r>
      <w:r w:rsidR="00387459" w:rsidRPr="006B1876">
        <w:rPr>
          <w:rFonts w:cs="Arial"/>
          <w:shd w:val="clear" w:color="auto" w:fill="FFFFFF"/>
          <w:lang w:val="ro-RO"/>
        </w:rPr>
        <w:t xml:space="preserve"> </w:t>
      </w:r>
      <w:r w:rsidR="00164871">
        <w:rPr>
          <w:rFonts w:cs="Arial"/>
          <w:shd w:val="clear" w:color="auto" w:fill="FFFFFF"/>
          <w:lang w:val="ro-RO"/>
        </w:rPr>
        <w:t xml:space="preserve">actualizat la data de 12.09.2018 și prezentat COM </w:t>
      </w:r>
      <w:r w:rsidRPr="006B1876">
        <w:rPr>
          <w:rFonts w:cs="Arial"/>
          <w:shd w:val="clear" w:color="auto" w:fill="FFFFFF"/>
          <w:lang w:val="ro-RO"/>
        </w:rPr>
        <w:t>po</w:t>
      </w:r>
      <w:r w:rsidR="00387459" w:rsidRPr="006B1876">
        <w:rPr>
          <w:rFonts w:cs="Arial"/>
          <w:shd w:val="clear" w:color="auto" w:fill="FFFFFF"/>
          <w:lang w:val="ro-RO"/>
        </w:rPr>
        <w:t>a</w:t>
      </w:r>
      <w:r w:rsidRPr="006B1876">
        <w:rPr>
          <w:rFonts w:cs="Arial"/>
          <w:shd w:val="clear" w:color="auto" w:fill="FFFFFF"/>
          <w:lang w:val="ro-RO"/>
        </w:rPr>
        <w:t>t</w:t>
      </w:r>
      <w:r w:rsidR="00387459" w:rsidRPr="006B1876">
        <w:rPr>
          <w:rFonts w:cs="Arial"/>
          <w:shd w:val="clear" w:color="auto" w:fill="FFFFFF"/>
          <w:lang w:val="ro-RO"/>
        </w:rPr>
        <w:t>e fi accesat</w:t>
      </w:r>
      <w:r w:rsidR="00164871">
        <w:rPr>
          <w:rFonts w:cs="Arial"/>
          <w:shd w:val="clear" w:color="auto" w:fill="FFFFFF"/>
          <w:lang w:val="ro-RO"/>
        </w:rPr>
        <w:t xml:space="preserve"> pe pagina de internet</w:t>
      </w:r>
      <w:r w:rsidRPr="006B1876">
        <w:rPr>
          <w:rFonts w:cs="Arial"/>
          <w:shd w:val="clear" w:color="auto" w:fill="FFFFFF"/>
          <w:lang w:val="ro-RO"/>
        </w:rPr>
        <w:t xml:space="preserve"> la următo</w:t>
      </w:r>
      <w:r w:rsidR="006B1876">
        <w:rPr>
          <w:rFonts w:cs="Arial"/>
          <w:shd w:val="clear" w:color="auto" w:fill="FFFFFF"/>
          <w:lang w:val="ro-RO"/>
        </w:rPr>
        <w:t>rul</w:t>
      </w:r>
      <w:r w:rsidRPr="006B1876">
        <w:rPr>
          <w:rFonts w:cs="Arial"/>
          <w:shd w:val="clear" w:color="auto" w:fill="FFFFFF"/>
          <w:lang w:val="ro-RO"/>
        </w:rPr>
        <w:t xml:space="preserve"> link:</w:t>
      </w:r>
    </w:p>
    <w:p w14:paraId="423AB88E" w14:textId="61C6E904" w:rsidR="006B1876" w:rsidRPr="006B1876" w:rsidRDefault="00B67A79" w:rsidP="006B1876">
      <w:pPr>
        <w:rPr>
          <w:rFonts w:cs="Arial"/>
          <w:u w:val="single"/>
          <w:shd w:val="clear" w:color="auto" w:fill="FFFFFF"/>
          <w:lang w:val="ro-RO"/>
        </w:rPr>
      </w:pPr>
      <w:hyperlink r:id="rId9" w:history="1">
        <w:r w:rsidR="007266FE" w:rsidRPr="006B1876">
          <w:rPr>
            <w:rStyle w:val="Hyperlink"/>
            <w:rFonts w:cs="Arial"/>
            <w:color w:val="auto"/>
            <w:shd w:val="clear" w:color="auto" w:fill="FFFFFF"/>
            <w:lang w:val="ro-RO"/>
          </w:rPr>
          <w:t>https://eur-lex.europa.eu/legal-content/EN/ALL/?uri=COM:2018:639:FIN</w:t>
        </w:r>
      </w:hyperlink>
    </w:p>
    <w:p w14:paraId="568F1BFE" w14:textId="2B95B3D4" w:rsidR="00FB2F56" w:rsidRPr="006B1876" w:rsidRDefault="00FB2F56" w:rsidP="002275AD">
      <w:pPr>
        <w:rPr>
          <w:rFonts w:cs="Arial"/>
          <w:shd w:val="clear" w:color="auto" w:fill="FFFFFF"/>
          <w:lang w:val="ro-RO"/>
        </w:rPr>
      </w:pPr>
      <w:r w:rsidRPr="006B1876">
        <w:rPr>
          <w:rFonts w:cs="Arial"/>
          <w:shd w:val="clear" w:color="auto" w:fill="FFFFFF"/>
          <w:lang w:val="ro-RO"/>
        </w:rPr>
        <w:t xml:space="preserve">Termenul până la care sunt așteptate </w:t>
      </w:r>
      <w:r w:rsidRPr="006B1876">
        <w:rPr>
          <w:rFonts w:cs="Arial"/>
          <w:u w:val="single"/>
          <w:shd w:val="clear" w:color="auto" w:fill="FFFFFF"/>
          <w:lang w:val="ro-RO"/>
        </w:rPr>
        <w:t>opinii, comentarii și sugestii argumentate</w:t>
      </w:r>
      <w:r w:rsidRPr="006B1876">
        <w:rPr>
          <w:rFonts w:cs="Arial"/>
          <w:shd w:val="clear" w:color="auto" w:fill="FFFFFF"/>
          <w:lang w:val="ro-RO"/>
        </w:rPr>
        <w:t xml:space="preserve"> privitoare la </w:t>
      </w:r>
      <w:r w:rsidR="00AE5A68" w:rsidRPr="006B1876">
        <w:rPr>
          <w:rFonts w:cs="Arial"/>
          <w:shd w:val="clear" w:color="auto" w:fill="FFFFFF"/>
          <w:lang w:val="ro-RO"/>
        </w:rPr>
        <w:t>acest proiect legislativ</w:t>
      </w:r>
      <w:r w:rsidRPr="006B1876">
        <w:rPr>
          <w:rFonts w:cs="Arial"/>
          <w:shd w:val="clear" w:color="auto" w:fill="FFFFFF"/>
          <w:lang w:val="ro-RO"/>
        </w:rPr>
        <w:t xml:space="preserve"> este de </w:t>
      </w:r>
      <w:r w:rsidR="00AA0189" w:rsidRPr="006B1876">
        <w:rPr>
          <w:rFonts w:cs="Arial"/>
          <w:b/>
          <w:shd w:val="clear" w:color="auto" w:fill="FFFFFF"/>
          <w:lang w:val="ro-RO"/>
        </w:rPr>
        <w:t>10</w:t>
      </w:r>
      <w:r w:rsidRPr="006B1876">
        <w:rPr>
          <w:rFonts w:cs="Arial"/>
          <w:b/>
          <w:shd w:val="clear" w:color="auto" w:fill="FFFFFF"/>
          <w:lang w:val="ro-RO"/>
        </w:rPr>
        <w:t xml:space="preserve"> zile lucrătoare</w:t>
      </w:r>
      <w:r w:rsidRPr="006B1876">
        <w:rPr>
          <w:rFonts w:cs="Arial"/>
          <w:shd w:val="clear" w:color="auto" w:fill="FFFFFF"/>
          <w:lang w:val="ro-RO"/>
        </w:rPr>
        <w:t xml:space="preserve"> de la data afișării pe pagina electronică a Ministerului Transporturilor. </w:t>
      </w:r>
    </w:p>
    <w:p w14:paraId="5E708BA0" w14:textId="56D3CFCF" w:rsidR="007266FE" w:rsidRPr="006B1876" w:rsidRDefault="00FB2F56" w:rsidP="006B1876">
      <w:pPr>
        <w:rPr>
          <w:rFonts w:cs="Arial"/>
          <w:shd w:val="clear" w:color="auto" w:fill="FFFFFF"/>
          <w:lang w:val="ro-RO"/>
        </w:rPr>
      </w:pPr>
      <w:r w:rsidRPr="006B1876">
        <w:rPr>
          <w:rFonts w:cs="Arial"/>
          <w:shd w:val="clear" w:color="auto" w:fill="FFFFFF"/>
          <w:lang w:val="ro-RO"/>
        </w:rPr>
        <w:t>Propunerile vor fi transmise</w:t>
      </w:r>
      <w:r w:rsidR="007266FE" w:rsidRPr="006B1876">
        <w:rPr>
          <w:rFonts w:cs="Arial"/>
          <w:shd w:val="clear" w:color="auto" w:fill="FFFFFF"/>
          <w:lang w:val="ro-RO"/>
        </w:rPr>
        <w:t xml:space="preserve"> în format electronic, la adresele</w:t>
      </w:r>
      <w:r w:rsidRPr="006B1876">
        <w:rPr>
          <w:rFonts w:cs="Arial"/>
          <w:shd w:val="clear" w:color="auto" w:fill="FFFFFF"/>
          <w:lang w:val="ro-RO"/>
        </w:rPr>
        <w:t xml:space="preserve"> de e-mail</w:t>
      </w:r>
      <w:r w:rsidRPr="006B1876">
        <w:rPr>
          <w:lang w:val="ro-RO"/>
        </w:rPr>
        <w:t> </w:t>
      </w:r>
      <w:r w:rsidR="00164871">
        <w:t>secretariat.daeri@mt.ro</w:t>
      </w:r>
      <w:r w:rsidR="006B1876">
        <w:rPr>
          <w:rFonts w:cs="Arial"/>
          <w:shd w:val="clear" w:color="auto" w:fill="FFFFFF"/>
          <w:lang w:val="ro-RO"/>
        </w:rPr>
        <w:t xml:space="preserve"> </w:t>
      </w:r>
      <w:r w:rsidR="007266FE" w:rsidRPr="006B1876">
        <w:rPr>
          <w:rFonts w:cs="Arial"/>
          <w:shd w:val="clear" w:color="auto" w:fill="FFFFFF"/>
          <w:lang w:val="ro-RO"/>
        </w:rPr>
        <w:t xml:space="preserve">și </w:t>
      </w:r>
      <w:hyperlink r:id="rId10" w:history="1">
        <w:r w:rsidR="007266FE" w:rsidRPr="006B1876">
          <w:rPr>
            <w:rStyle w:val="Hyperlink"/>
            <w:rFonts w:cs="Arial"/>
            <w:color w:val="auto"/>
            <w:u w:val="none"/>
            <w:shd w:val="clear" w:color="auto" w:fill="FFFFFF"/>
            <w:lang w:val="ro-RO"/>
          </w:rPr>
          <w:t>marilena.gubendreanu@mt.ro</w:t>
        </w:r>
      </w:hyperlink>
      <w:r w:rsidR="007266FE" w:rsidRPr="006B1876">
        <w:rPr>
          <w:rFonts w:cs="Arial"/>
          <w:shd w:val="clear" w:color="auto" w:fill="FFFFFF"/>
          <w:lang w:val="ro-RO"/>
        </w:rPr>
        <w:t>.</w:t>
      </w:r>
    </w:p>
    <w:p w14:paraId="67698845" w14:textId="707DF444" w:rsidR="00244A87" w:rsidRPr="002275AD" w:rsidRDefault="00FB2F56" w:rsidP="002275AD">
      <w:pPr>
        <w:rPr>
          <w:rFonts w:cs="Arial"/>
          <w:shd w:val="clear" w:color="auto" w:fill="FFFFFF"/>
        </w:rPr>
      </w:pPr>
      <w:r w:rsidRPr="002275AD">
        <w:rPr>
          <w:rFonts w:cs="Arial"/>
          <w:shd w:val="clear" w:color="auto" w:fill="FFFFFF"/>
        </w:rPr>
        <w:t xml:space="preserve"> </w:t>
      </w:r>
    </w:p>
    <w:p w14:paraId="2545DD1B" w14:textId="2842DB50" w:rsidR="00C23819" w:rsidRPr="002275AD" w:rsidRDefault="00FB2F56" w:rsidP="002275AD">
      <w:pPr>
        <w:pStyle w:val="ListParagraph"/>
        <w:numPr>
          <w:ilvl w:val="0"/>
          <w:numId w:val="8"/>
        </w:numPr>
        <w:ind w:left="1701"/>
        <w:contextualSpacing w:val="0"/>
        <w:rPr>
          <w:b/>
          <w:lang w:val="ro-RO"/>
        </w:rPr>
      </w:pPr>
      <w:r w:rsidRPr="002275AD">
        <w:rPr>
          <w:b/>
          <w:lang w:val="ro-RO"/>
        </w:rPr>
        <w:t xml:space="preserve">Prezentare succintă a </w:t>
      </w:r>
      <w:r w:rsidR="00FC78E0" w:rsidRPr="002275AD">
        <w:rPr>
          <w:b/>
          <w:lang w:val="ro-RO"/>
        </w:rPr>
        <w:t>contextului</w:t>
      </w:r>
    </w:p>
    <w:p w14:paraId="2CF7D6AA" w14:textId="77777777" w:rsidR="00287530" w:rsidRPr="002275AD" w:rsidRDefault="00287530" w:rsidP="002275AD">
      <w:pPr>
        <w:rPr>
          <w:noProof/>
        </w:rPr>
      </w:pPr>
      <w:r w:rsidRPr="002275AD">
        <w:rPr>
          <w:noProof/>
        </w:rPr>
        <w:t xml:space="preserve">Motivul pentru care se legiferează în acest domeniu la nivelul UE a fost armonizarea practicilor care existau la nivel național în ceea ce privește ora de vară și a calendarelor aferente, care erau divergente. Comisia a adus în discuție pentru prima dată problema efectelor adverse asupra pieței interne ale practicilor naționale divergente referitoare la ora de vară – asupra transportului transfrontalier, a comunicațiilor și a comerțului – într-o </w:t>
      </w:r>
      <w:r w:rsidRPr="002275AD">
        <w:rPr>
          <w:noProof/>
        </w:rPr>
        <w:lastRenderedPageBreak/>
        <w:t>comunicare</w:t>
      </w:r>
      <w:r w:rsidRPr="002275AD">
        <w:rPr>
          <w:rStyle w:val="FootnoteReference"/>
          <w:noProof/>
        </w:rPr>
        <w:footnoteReference w:id="1"/>
      </w:r>
      <w:r w:rsidRPr="002275AD">
        <w:rPr>
          <w:noProof/>
        </w:rPr>
        <w:t xml:space="preserve"> din 1975. Studiul ICF din 2014, comandat de Comisie, a analizat implicațiile (ipotetice) ale unor sisteme nearmonizate referitoare la ora de vară, în special asupra funcționării pieței interne, dar și asupra întreprinderilor și a cetățenilor, și a concluzionat că nesincronizarea sistemelor ar genera costuri mai mari, inconveniente mai mari și o productivitate mai scăzută pe piața internă a bunurilor și serviciilor.    </w:t>
      </w:r>
    </w:p>
    <w:p w14:paraId="3AF31113" w14:textId="77777777" w:rsidR="00287530" w:rsidRPr="002275AD" w:rsidRDefault="00287530" w:rsidP="002275AD">
      <w:pPr>
        <w:rPr>
          <w:noProof/>
        </w:rPr>
      </w:pPr>
      <w:r w:rsidRPr="002275AD">
        <w:rPr>
          <w:noProof/>
        </w:rPr>
        <w:t>Alte studii</w:t>
      </w:r>
      <w:r w:rsidRPr="002275AD">
        <w:rPr>
          <w:rStyle w:val="FootnoteReference"/>
          <w:noProof/>
        </w:rPr>
        <w:footnoteReference w:id="2"/>
      </w:r>
      <w:r w:rsidRPr="002275AD">
        <w:rPr>
          <w:noProof/>
        </w:rPr>
        <w:t xml:space="preserve"> arată, de asemenea, beneficiile unei abordări armonizate pentru piața unică și riscul de fragmentare în absența unei abordări armonizate. În alte domenii, dovezile fie indică impacturi marginale ale măsurilor referitoare la ora de vară (de exemplu, efecte relativ reduse în ceea ce privește economiile de energie), fie rămân neconcludente (de exemplu, impactul asupra sănătății în ansamblu, siguranța rutieră).</w:t>
      </w:r>
    </w:p>
    <w:p w14:paraId="207B37C2" w14:textId="49AB45FC" w:rsidR="007266FE" w:rsidRPr="002275AD" w:rsidRDefault="00505C27" w:rsidP="002275AD">
      <w:pPr>
        <w:pStyle w:val="ManualHeading2"/>
        <w:tabs>
          <w:tab w:val="clear" w:pos="850"/>
        </w:tabs>
        <w:spacing w:line="276" w:lineRule="auto"/>
        <w:ind w:left="1701"/>
        <w:rPr>
          <w:rFonts w:ascii="Trebuchet MS" w:eastAsia="Arial Unicode MS" w:hAnsi="Trebuchet MS"/>
          <w:noProof/>
          <w:sz w:val="22"/>
        </w:rPr>
      </w:pPr>
      <w:r w:rsidRPr="002275AD">
        <w:rPr>
          <w:rFonts w:ascii="Trebuchet MS" w:hAnsi="Trebuchet MS"/>
          <w:noProof/>
          <w:sz w:val="22"/>
        </w:rPr>
        <w:tab/>
      </w:r>
    </w:p>
    <w:p w14:paraId="7D5A60CA" w14:textId="2D46BD9E" w:rsidR="00C23819" w:rsidRPr="0057145C" w:rsidRDefault="00505C27" w:rsidP="002275AD">
      <w:pPr>
        <w:pStyle w:val="ListParagraph"/>
        <w:numPr>
          <w:ilvl w:val="0"/>
          <w:numId w:val="8"/>
        </w:numPr>
        <w:ind w:left="1701"/>
        <w:contextualSpacing w:val="0"/>
        <w:rPr>
          <w:b/>
          <w:lang w:val="ro-RO"/>
        </w:rPr>
      </w:pPr>
      <w:r w:rsidRPr="0057145C">
        <w:rPr>
          <w:b/>
          <w:noProof/>
        </w:rPr>
        <w:t>Planuri de punere în aplicare și modalități de monitorizare, evaluare și raportare</w:t>
      </w:r>
    </w:p>
    <w:p w14:paraId="032FCABD" w14:textId="56BABC9C" w:rsidR="00287530" w:rsidRPr="002275AD" w:rsidRDefault="0057145C" w:rsidP="002275AD">
      <w:pPr>
        <w:pStyle w:val="Bullet1"/>
        <w:numPr>
          <w:ilvl w:val="0"/>
          <w:numId w:val="0"/>
        </w:numPr>
        <w:spacing w:line="276" w:lineRule="auto"/>
        <w:ind w:left="1701" w:firstLine="23"/>
        <w:rPr>
          <w:rFonts w:ascii="Trebuchet MS" w:hAnsi="Trebuchet MS"/>
          <w:noProof/>
          <w:sz w:val="22"/>
        </w:rPr>
      </w:pPr>
      <w:r>
        <w:rPr>
          <w:rFonts w:ascii="Trebuchet MS" w:hAnsi="Trebuchet MS"/>
          <w:noProof/>
          <w:sz w:val="22"/>
        </w:rPr>
        <w:t>Î</w:t>
      </w:r>
      <w:r w:rsidR="00287530" w:rsidRPr="002275AD">
        <w:rPr>
          <w:rFonts w:ascii="Trebuchet MS" w:hAnsi="Trebuchet MS"/>
          <w:noProof/>
          <w:sz w:val="22"/>
        </w:rPr>
        <w:t>n Spania, Institutul pentru diversificare și pentru economiile de energie (</w:t>
      </w:r>
      <w:r w:rsidR="00287530" w:rsidRPr="002275AD">
        <w:rPr>
          <w:rFonts w:ascii="Trebuchet MS" w:hAnsi="Trebuchet MS"/>
          <w:i/>
          <w:noProof/>
          <w:sz w:val="22"/>
        </w:rPr>
        <w:t>Institute of Diversification and Energy Savings -</w:t>
      </w:r>
      <w:r w:rsidR="00287530" w:rsidRPr="002275AD">
        <w:rPr>
          <w:rFonts w:ascii="Trebuchet MS" w:hAnsi="Trebuchet MS"/>
          <w:noProof/>
          <w:sz w:val="22"/>
        </w:rPr>
        <w:t xml:space="preserve"> IDAE) raportează pentru 2015 o reducere cu 5 % a consumului total de energie electrică în scopuri de iluminat, grație orei de vară, ceea ce reprezintă o economie anuală de 300 de milioane EUR.  </w:t>
      </w:r>
    </w:p>
    <w:p w14:paraId="0E7C38C8" w14:textId="0B95D63D" w:rsidR="00287530" w:rsidRPr="002275AD" w:rsidRDefault="00287530" w:rsidP="002275AD">
      <w:pPr>
        <w:pStyle w:val="Bullet1"/>
        <w:numPr>
          <w:ilvl w:val="0"/>
          <w:numId w:val="0"/>
        </w:numPr>
        <w:spacing w:line="276" w:lineRule="auto"/>
        <w:ind w:left="1701" w:firstLine="23"/>
        <w:rPr>
          <w:rFonts w:ascii="Trebuchet MS" w:hAnsi="Trebuchet MS"/>
          <w:noProof/>
          <w:sz w:val="22"/>
        </w:rPr>
      </w:pPr>
      <w:r w:rsidRPr="002275AD">
        <w:rPr>
          <w:rFonts w:ascii="Trebuchet MS" w:hAnsi="Trebuchet MS"/>
          <w:noProof/>
          <w:sz w:val="22"/>
        </w:rPr>
        <w:t>Un studiu din 2014 comandat de Comisie a constatat că măsurile referitoare la ora de vară generează probleme administrative pentru operatorii de gaze atunci când aceștia fac rezervări la operatorii de sisteme de transport</w:t>
      </w:r>
      <w:r w:rsidRPr="002275AD">
        <w:rPr>
          <w:rStyle w:val="FootnoteReference"/>
          <w:rFonts w:ascii="Trebuchet MS" w:hAnsi="Trebuchet MS"/>
          <w:noProof/>
          <w:sz w:val="22"/>
        </w:rPr>
        <w:footnoteReference w:id="3"/>
      </w:r>
      <w:r w:rsidRPr="002275AD">
        <w:rPr>
          <w:rFonts w:ascii="Trebuchet MS" w:hAnsi="Trebuchet MS"/>
          <w:noProof/>
          <w:sz w:val="22"/>
        </w:rPr>
        <w:t>.  Însă introducerea unor noi tehnologii pentru iluminat (și a contoarelor inteligente, a dispozitivelor de programare etc) reduce deja potențialul de economisire a energiei al măsurilor referitoare la ora de vară.</w:t>
      </w:r>
    </w:p>
    <w:p w14:paraId="4E9B00AF" w14:textId="697FD1A5" w:rsidR="00287530" w:rsidRPr="002275AD" w:rsidRDefault="00287530" w:rsidP="002275AD">
      <w:pPr>
        <w:pStyle w:val="Bullet0"/>
        <w:numPr>
          <w:ilvl w:val="0"/>
          <w:numId w:val="0"/>
        </w:numPr>
        <w:spacing w:line="276" w:lineRule="auto"/>
        <w:ind w:left="1701" w:firstLine="23"/>
        <w:rPr>
          <w:rFonts w:ascii="Trebuchet MS" w:hAnsi="Trebuchet MS"/>
          <w:noProof/>
          <w:sz w:val="22"/>
        </w:rPr>
      </w:pPr>
      <w:r w:rsidRPr="002275AD">
        <w:rPr>
          <w:rFonts w:ascii="Trebuchet MS" w:hAnsi="Trebuchet MS"/>
          <w:b/>
          <w:noProof/>
          <w:sz w:val="22"/>
        </w:rPr>
        <w:t>Sănătate</w:t>
      </w:r>
      <w:r w:rsidRPr="002275AD">
        <w:rPr>
          <w:rFonts w:ascii="Trebuchet MS" w:hAnsi="Trebuchet MS"/>
          <w:noProof/>
          <w:sz w:val="22"/>
        </w:rPr>
        <w:t xml:space="preserve">: Unele studii arată că măsurile referitoare la ora de vară ar putea genera efecte pozitive legate de numărul mai mare de activități de agrement în aer liber. Pe de altă parte, </w:t>
      </w:r>
      <w:r w:rsidRPr="002275AD">
        <w:rPr>
          <w:rFonts w:ascii="Trebuchet MS" w:hAnsi="Trebuchet MS"/>
          <w:b/>
          <w:noProof/>
          <w:sz w:val="22"/>
        </w:rPr>
        <w:t>există rezultate ale unor studii cronobiologice care sugerează că efectul asupra bioritmului uman ar putea fi mai grav decât se credea anterior.</w:t>
      </w:r>
      <w:r w:rsidRPr="002275AD">
        <w:rPr>
          <w:rFonts w:ascii="Trebuchet MS" w:hAnsi="Trebuchet MS"/>
          <w:noProof/>
          <w:sz w:val="22"/>
        </w:rPr>
        <w:t xml:space="preserve"> De exemplu, raportul din 2016 al Bundestagului se referă la constatări care indică faptul că ritmul biologic uman se adaptează mai puțin bine decât se credea la schimbarea orei din primăvară și că anumite cronotipuri umane pot avea nevoie de câteva săptămâni pentru a se adapta, în timp ce schimbarea din toamnă creează mai puține probleme.</w:t>
      </w:r>
    </w:p>
    <w:p w14:paraId="2B7623F9" w14:textId="77777777" w:rsidR="00287530" w:rsidRPr="002275AD" w:rsidRDefault="00287530" w:rsidP="002275AD">
      <w:pPr>
        <w:pStyle w:val="Bullet0"/>
        <w:numPr>
          <w:ilvl w:val="0"/>
          <w:numId w:val="0"/>
        </w:numPr>
        <w:spacing w:line="276" w:lineRule="auto"/>
        <w:ind w:left="1701" w:firstLine="23"/>
        <w:rPr>
          <w:rFonts w:ascii="Trebuchet MS" w:hAnsi="Trebuchet MS"/>
          <w:noProof/>
          <w:sz w:val="22"/>
        </w:rPr>
      </w:pPr>
      <w:r w:rsidRPr="002275AD">
        <w:rPr>
          <w:rFonts w:ascii="Trebuchet MS" w:hAnsi="Trebuchet MS"/>
          <w:b/>
          <w:noProof/>
          <w:sz w:val="22"/>
        </w:rPr>
        <w:t>Siguranța rutieră</w:t>
      </w:r>
      <w:r w:rsidRPr="002275AD">
        <w:rPr>
          <w:rFonts w:ascii="Trebuchet MS" w:hAnsi="Trebuchet MS"/>
          <w:noProof/>
          <w:sz w:val="22"/>
        </w:rPr>
        <w:t xml:space="preserve">: Datele rămân neconcludente în ceea ce privește relația dintre măsurile referitoare la ora de vară și accidentele rutiere. </w:t>
      </w:r>
      <w:r w:rsidRPr="002275AD">
        <w:rPr>
          <w:rFonts w:ascii="Trebuchet MS" w:hAnsi="Trebuchet MS"/>
          <w:b/>
          <w:noProof/>
          <w:sz w:val="22"/>
        </w:rPr>
        <w:t>Unele studii arată că privarea de somn generată de mutarea ceasurilor înainte primăvara ar spori riscul de accidente.</w:t>
      </w:r>
      <w:r w:rsidRPr="002275AD">
        <w:rPr>
          <w:rFonts w:ascii="Trebuchet MS" w:hAnsi="Trebuchet MS"/>
          <w:noProof/>
          <w:sz w:val="22"/>
        </w:rPr>
        <w:t xml:space="preserve"> Cu toate acestea, în general, este dificil să se concluzioneze că o sporire a ratei accidentelor ar putea fi atribuită direct efectului măsurilor referitoare la ora de vară, mai degrabă decât altor factori.</w:t>
      </w:r>
    </w:p>
    <w:p w14:paraId="7D416626" w14:textId="77777777" w:rsidR="00287530" w:rsidRPr="002275AD" w:rsidRDefault="00287530" w:rsidP="002275AD">
      <w:pPr>
        <w:pStyle w:val="ListParagraph"/>
        <w:ind w:left="1701"/>
        <w:contextualSpacing w:val="0"/>
        <w:rPr>
          <w:lang w:val="ro-RO"/>
        </w:rPr>
      </w:pPr>
      <w:r w:rsidRPr="002275AD">
        <w:rPr>
          <w:lang w:val="ro-RO"/>
        </w:rPr>
        <w:t xml:space="preserve">Toate studiile și evaluările efectuate până în prezent atât la nivelul COM cât și la nivelul unor state membre demonstrează necesitatea unei strânse armonizări și coordonări între </w:t>
      </w:r>
      <w:r w:rsidRPr="002275AD">
        <w:rPr>
          <w:lang w:val="ro-RO"/>
        </w:rPr>
        <w:lastRenderedPageBreak/>
        <w:t xml:space="preserve">SM privind modalitatea de abordare a  renunțării la schimbarea sezonieră a orei la nivel UE.  </w:t>
      </w:r>
    </w:p>
    <w:p w14:paraId="50F8B6A4" w14:textId="7ADEA4FB" w:rsidR="00287530" w:rsidRPr="002275AD" w:rsidRDefault="00287530" w:rsidP="002275AD">
      <w:pPr>
        <w:pStyle w:val="ListParagraph"/>
        <w:ind w:left="1701"/>
        <w:contextualSpacing w:val="0"/>
        <w:rPr>
          <w:lang w:val="ro-RO"/>
        </w:rPr>
      </w:pPr>
      <w:r w:rsidRPr="002275AD">
        <w:rPr>
          <w:lang w:val="ro-RO"/>
        </w:rPr>
        <w:t>Acest dosar se va afla pe agenda Președinției României</w:t>
      </w:r>
      <w:r w:rsidR="00C87822">
        <w:rPr>
          <w:lang w:val="ro-RO"/>
        </w:rPr>
        <w:t xml:space="preserve"> la Consiliul UE</w:t>
      </w:r>
      <w:r w:rsidRPr="002275AD">
        <w:rPr>
          <w:lang w:val="ro-RO"/>
        </w:rPr>
        <w:t xml:space="preserve"> și este necesară urmărirea îndeaproape a evoluțiilor ce au loc la nivelul instituțiilor europene, știut fiind că, la nivelul Comisiei Europene, se dorește </w:t>
      </w:r>
      <w:r w:rsidR="00164871">
        <w:rPr>
          <w:lang w:val="ro-RO"/>
        </w:rPr>
        <w:t>implementarea</w:t>
      </w:r>
      <w:r w:rsidRPr="002275AD">
        <w:rPr>
          <w:lang w:val="ro-RO"/>
        </w:rPr>
        <w:t xml:space="preserve"> acest</w:t>
      </w:r>
      <w:r w:rsidR="00164871">
        <w:rPr>
          <w:lang w:val="ro-RO"/>
        </w:rPr>
        <w:t>ui</w:t>
      </w:r>
      <w:r w:rsidRPr="002275AD">
        <w:rPr>
          <w:lang w:val="ro-RO"/>
        </w:rPr>
        <w:t xml:space="preserve"> dosar până în 2021.</w:t>
      </w:r>
    </w:p>
    <w:p w14:paraId="4AA8B92D" w14:textId="54E29EA3" w:rsidR="00505C27" w:rsidRPr="0057145C" w:rsidRDefault="00287530" w:rsidP="0057145C">
      <w:pPr>
        <w:rPr>
          <w:lang w:val="ro-RO"/>
        </w:rPr>
      </w:pPr>
      <w:r w:rsidRPr="002275AD">
        <w:rPr>
          <w:lang w:val="ro-RO"/>
        </w:rPr>
        <w:t xml:space="preserve">Având în vedere impactul acestei initiative asupra populației și a întregii economii naționale </w:t>
      </w:r>
      <w:r w:rsidRPr="002275AD">
        <w:rPr>
          <w:b/>
          <w:lang w:val="ro-RO"/>
        </w:rPr>
        <w:t>se impune organizarea unor ample dezbateri publice și interinstituționale  privind conținutul acesteia în vederea identificării soluției optime pentru România</w:t>
      </w:r>
      <w:r w:rsidRPr="002275AD">
        <w:rPr>
          <w:lang w:val="ro-RO"/>
        </w:rPr>
        <w:t xml:space="preserve"> precum și a datei de aplicare a acesteia.</w:t>
      </w:r>
    </w:p>
    <w:p w14:paraId="45D4CB04" w14:textId="33874A95" w:rsidR="00505C27" w:rsidRPr="002275AD" w:rsidRDefault="00505C27" w:rsidP="002275AD">
      <w:pPr>
        <w:pBdr>
          <w:top w:val="nil"/>
          <w:left w:val="nil"/>
          <w:bottom w:val="nil"/>
          <w:right w:val="nil"/>
          <w:between w:val="nil"/>
          <w:bar w:val="nil"/>
        </w:pBdr>
        <w:rPr>
          <w:noProof/>
        </w:rPr>
      </w:pPr>
      <w:r w:rsidRPr="002275AD">
        <w:rPr>
          <w:noProof/>
        </w:rPr>
        <w:t xml:space="preserve">Pentru a evalua impacturile prezentei directive, în special în ceea ce privește efectele asupra funcționării pieței interne, dar și în ceea ce privește consecințele asupra părților interesate și asupra </w:t>
      </w:r>
      <w:r w:rsidR="00C87822">
        <w:rPr>
          <w:noProof/>
        </w:rPr>
        <w:t>vieților cetățenilor, Comisia are în vedere</w:t>
      </w:r>
      <w:r w:rsidRPr="002275AD">
        <w:rPr>
          <w:noProof/>
        </w:rPr>
        <w:t xml:space="preserve"> prezenta</w:t>
      </w:r>
      <w:r w:rsidR="00C87822">
        <w:rPr>
          <w:noProof/>
        </w:rPr>
        <w:t>rea</w:t>
      </w:r>
      <w:r w:rsidRPr="002275AD">
        <w:rPr>
          <w:noProof/>
        </w:rPr>
        <w:t xml:space="preserve"> Parlamentului European și Consiliului, cel târziu la 31 decembrie 2024, un raport privind punerea în aplicare a prezentei directive, deoarece atunci ar trebui să existe suficiente informații cu privire la efectele sale.</w:t>
      </w:r>
    </w:p>
    <w:p w14:paraId="5B1CFBD1" w14:textId="77777777" w:rsidR="00FC78E0" w:rsidRPr="002275AD" w:rsidRDefault="00FC78E0" w:rsidP="002275AD">
      <w:pPr>
        <w:rPr>
          <w:shd w:val="clear" w:color="auto" w:fill="FFFFFF"/>
        </w:rPr>
      </w:pPr>
    </w:p>
    <w:p w14:paraId="229E0A14" w14:textId="77777777" w:rsidR="00FB2F56" w:rsidRPr="002275AD" w:rsidRDefault="00FB2F56" w:rsidP="002275AD">
      <w:pPr>
        <w:pStyle w:val="ListParagraph"/>
        <w:numPr>
          <w:ilvl w:val="0"/>
          <w:numId w:val="8"/>
        </w:numPr>
        <w:ind w:left="1701"/>
        <w:contextualSpacing w:val="0"/>
        <w:rPr>
          <w:b/>
          <w:lang w:val="ro-RO"/>
        </w:rPr>
      </w:pPr>
      <w:r w:rsidRPr="002275AD">
        <w:rPr>
          <w:b/>
          <w:lang w:val="ro-RO"/>
        </w:rPr>
        <w:t>Temele propuse pentru consultare</w:t>
      </w:r>
    </w:p>
    <w:p w14:paraId="714B4291" w14:textId="071A10F2" w:rsidR="002275AD" w:rsidRPr="0057145C" w:rsidRDefault="00FB2F56" w:rsidP="0057145C">
      <w:pPr>
        <w:rPr>
          <w:shd w:val="clear" w:color="auto" w:fill="FFFFFF"/>
        </w:rPr>
      </w:pPr>
      <w:proofErr w:type="spellStart"/>
      <w:r w:rsidRPr="002275AD">
        <w:rPr>
          <w:shd w:val="clear" w:color="auto" w:fill="FFFFFF"/>
        </w:rPr>
        <w:t>Prezenta</w:t>
      </w:r>
      <w:proofErr w:type="spellEnd"/>
      <w:r w:rsidRPr="002275AD">
        <w:rPr>
          <w:shd w:val="clear" w:color="auto" w:fill="FFFFFF"/>
        </w:rPr>
        <w:t xml:space="preserve"> </w:t>
      </w:r>
      <w:proofErr w:type="spellStart"/>
      <w:r w:rsidRPr="002275AD">
        <w:rPr>
          <w:shd w:val="clear" w:color="auto" w:fill="FFFFFF"/>
        </w:rPr>
        <w:t>consultare</w:t>
      </w:r>
      <w:proofErr w:type="spellEnd"/>
      <w:r w:rsidRPr="002275AD">
        <w:rPr>
          <w:shd w:val="clear" w:color="auto" w:fill="FFFFFF"/>
        </w:rPr>
        <w:t xml:space="preserve"> </w:t>
      </w:r>
      <w:proofErr w:type="spellStart"/>
      <w:r w:rsidRPr="002275AD">
        <w:rPr>
          <w:shd w:val="clear" w:color="auto" w:fill="FFFFFF"/>
        </w:rPr>
        <w:t>își</w:t>
      </w:r>
      <w:proofErr w:type="spellEnd"/>
      <w:r w:rsidRPr="002275AD">
        <w:rPr>
          <w:shd w:val="clear" w:color="auto" w:fill="FFFFFF"/>
        </w:rPr>
        <w:t xml:space="preserve"> </w:t>
      </w:r>
      <w:proofErr w:type="spellStart"/>
      <w:r w:rsidRPr="002275AD">
        <w:rPr>
          <w:shd w:val="clear" w:color="auto" w:fill="FFFFFF"/>
        </w:rPr>
        <w:t>propune</w:t>
      </w:r>
      <w:proofErr w:type="spellEnd"/>
      <w:r w:rsidRPr="002275AD">
        <w:rPr>
          <w:shd w:val="clear" w:color="auto" w:fill="FFFFFF"/>
        </w:rPr>
        <w:t xml:space="preserve"> </w:t>
      </w:r>
      <w:proofErr w:type="spellStart"/>
      <w:r w:rsidRPr="002275AD">
        <w:rPr>
          <w:shd w:val="clear" w:color="auto" w:fill="FFFFFF"/>
        </w:rPr>
        <w:t>colectarea</w:t>
      </w:r>
      <w:proofErr w:type="spellEnd"/>
      <w:r w:rsidRPr="002275AD">
        <w:rPr>
          <w:shd w:val="clear" w:color="auto" w:fill="FFFFFF"/>
        </w:rPr>
        <w:t xml:space="preserve"> </w:t>
      </w:r>
      <w:proofErr w:type="spellStart"/>
      <w:r w:rsidRPr="002275AD">
        <w:rPr>
          <w:shd w:val="clear" w:color="auto" w:fill="FFFFFF"/>
        </w:rPr>
        <w:t>opiniilor</w:t>
      </w:r>
      <w:proofErr w:type="spellEnd"/>
      <w:r w:rsidRPr="002275AD">
        <w:rPr>
          <w:shd w:val="clear" w:color="auto" w:fill="FFFFFF"/>
        </w:rPr>
        <w:t xml:space="preserve"> </w:t>
      </w:r>
      <w:proofErr w:type="spellStart"/>
      <w:r w:rsidRPr="002275AD">
        <w:rPr>
          <w:shd w:val="clear" w:color="auto" w:fill="FFFFFF"/>
        </w:rPr>
        <w:t>partenerilor</w:t>
      </w:r>
      <w:proofErr w:type="spellEnd"/>
      <w:r w:rsidRPr="002275AD">
        <w:rPr>
          <w:shd w:val="clear" w:color="auto" w:fill="FFFFFF"/>
        </w:rPr>
        <w:t xml:space="preserve"> </w:t>
      </w:r>
      <w:proofErr w:type="spellStart"/>
      <w:r w:rsidRPr="002275AD">
        <w:rPr>
          <w:shd w:val="clear" w:color="auto" w:fill="FFFFFF"/>
        </w:rPr>
        <w:t>sociali</w:t>
      </w:r>
      <w:proofErr w:type="spellEnd"/>
      <w:r w:rsidRPr="002275AD">
        <w:rPr>
          <w:shd w:val="clear" w:color="auto" w:fill="FFFFFF"/>
        </w:rPr>
        <w:t xml:space="preserve"> </w:t>
      </w:r>
      <w:proofErr w:type="spellStart"/>
      <w:r w:rsidRPr="002275AD">
        <w:rPr>
          <w:shd w:val="clear" w:color="auto" w:fill="FFFFFF"/>
        </w:rPr>
        <w:t>interesați</w:t>
      </w:r>
      <w:proofErr w:type="spellEnd"/>
      <w:r w:rsidRPr="002275AD">
        <w:rPr>
          <w:shd w:val="clear" w:color="auto" w:fill="FFFFFF"/>
        </w:rPr>
        <w:t xml:space="preserve"> (</w:t>
      </w:r>
      <w:proofErr w:type="spellStart"/>
      <w:r w:rsidRPr="002275AD">
        <w:rPr>
          <w:shd w:val="clear" w:color="auto" w:fill="FFFFFF"/>
        </w:rPr>
        <w:t>sindicate</w:t>
      </w:r>
      <w:proofErr w:type="spellEnd"/>
      <w:r w:rsidRPr="002275AD">
        <w:rPr>
          <w:shd w:val="clear" w:color="auto" w:fill="FFFFFF"/>
        </w:rPr>
        <w:t xml:space="preserve">, </w:t>
      </w:r>
      <w:proofErr w:type="spellStart"/>
      <w:r w:rsidRPr="002275AD">
        <w:rPr>
          <w:shd w:val="clear" w:color="auto" w:fill="FFFFFF"/>
        </w:rPr>
        <w:t>patronate</w:t>
      </w:r>
      <w:proofErr w:type="spellEnd"/>
      <w:r w:rsidRPr="002275AD">
        <w:rPr>
          <w:shd w:val="clear" w:color="auto" w:fill="FFFFFF"/>
        </w:rPr>
        <w:t xml:space="preserve">, </w:t>
      </w:r>
      <w:proofErr w:type="spellStart"/>
      <w:r w:rsidRPr="002275AD">
        <w:rPr>
          <w:shd w:val="clear" w:color="auto" w:fill="FFFFFF"/>
        </w:rPr>
        <w:t>asociații</w:t>
      </w:r>
      <w:proofErr w:type="spellEnd"/>
      <w:r w:rsidRPr="002275AD">
        <w:rPr>
          <w:shd w:val="clear" w:color="auto" w:fill="FFFFFF"/>
        </w:rPr>
        <w:t xml:space="preserve"> </w:t>
      </w:r>
      <w:proofErr w:type="spellStart"/>
      <w:r w:rsidRPr="002275AD">
        <w:rPr>
          <w:shd w:val="clear" w:color="auto" w:fill="FFFFFF"/>
        </w:rPr>
        <w:t>profesionale</w:t>
      </w:r>
      <w:proofErr w:type="spellEnd"/>
      <w:r w:rsidRPr="002275AD">
        <w:rPr>
          <w:shd w:val="clear" w:color="auto" w:fill="FFFFFF"/>
        </w:rPr>
        <w:t xml:space="preserve"> </w:t>
      </w:r>
      <w:proofErr w:type="spellStart"/>
      <w:r w:rsidRPr="002275AD">
        <w:rPr>
          <w:shd w:val="clear" w:color="auto" w:fill="FFFFFF"/>
        </w:rPr>
        <w:t>relevante</w:t>
      </w:r>
      <w:proofErr w:type="spellEnd"/>
      <w:r w:rsidRPr="002275AD">
        <w:rPr>
          <w:shd w:val="clear" w:color="auto" w:fill="FFFFFF"/>
        </w:rPr>
        <w:t xml:space="preserve"> care </w:t>
      </w:r>
      <w:proofErr w:type="spellStart"/>
      <w:r w:rsidRPr="002275AD">
        <w:rPr>
          <w:shd w:val="clear" w:color="auto" w:fill="FFFFFF"/>
        </w:rPr>
        <w:t>activează</w:t>
      </w:r>
      <w:proofErr w:type="spellEnd"/>
      <w:r w:rsidRPr="002275AD">
        <w:rPr>
          <w:shd w:val="clear" w:color="auto" w:fill="FFFFFF"/>
        </w:rPr>
        <w:t xml:space="preserve"> </w:t>
      </w:r>
      <w:proofErr w:type="spellStart"/>
      <w:r w:rsidRPr="002275AD">
        <w:rPr>
          <w:shd w:val="clear" w:color="auto" w:fill="FFFFFF"/>
        </w:rPr>
        <w:t>în</w:t>
      </w:r>
      <w:proofErr w:type="spellEnd"/>
      <w:r w:rsidRPr="002275AD">
        <w:rPr>
          <w:shd w:val="clear" w:color="auto" w:fill="FFFFFF"/>
        </w:rPr>
        <w:t xml:space="preserve"> </w:t>
      </w:r>
      <w:proofErr w:type="spellStart"/>
      <w:r w:rsidRPr="002275AD">
        <w:rPr>
          <w:shd w:val="clear" w:color="auto" w:fill="FFFFFF"/>
        </w:rPr>
        <w:t>d</w:t>
      </w:r>
      <w:r w:rsidR="00C87822">
        <w:rPr>
          <w:shd w:val="clear" w:color="auto" w:fill="FFFFFF"/>
        </w:rPr>
        <w:t>omeniul</w:t>
      </w:r>
      <w:proofErr w:type="spellEnd"/>
      <w:r w:rsidR="00C87822">
        <w:rPr>
          <w:shd w:val="clear" w:color="auto" w:fill="FFFFFF"/>
        </w:rPr>
        <w:t xml:space="preserve"> </w:t>
      </w:r>
      <w:proofErr w:type="spellStart"/>
      <w:r w:rsidR="00C87822">
        <w:rPr>
          <w:shd w:val="clear" w:color="auto" w:fill="FFFFFF"/>
        </w:rPr>
        <w:t>transporturilor</w:t>
      </w:r>
      <w:proofErr w:type="spellEnd"/>
      <w:r w:rsidR="00C87822">
        <w:rPr>
          <w:shd w:val="clear" w:color="auto" w:fill="FFFFFF"/>
        </w:rPr>
        <w:t xml:space="preserve"> </w:t>
      </w:r>
      <w:proofErr w:type="spellStart"/>
      <w:r w:rsidR="00C87822">
        <w:rPr>
          <w:shd w:val="clear" w:color="auto" w:fill="FFFFFF"/>
        </w:rPr>
        <w:t>aerian</w:t>
      </w:r>
      <w:proofErr w:type="spellEnd"/>
      <w:r w:rsidR="00C87822">
        <w:rPr>
          <w:shd w:val="clear" w:color="auto" w:fill="FFFFFF"/>
        </w:rPr>
        <w:t xml:space="preserve">, naval, </w:t>
      </w:r>
      <w:proofErr w:type="spellStart"/>
      <w:r w:rsidR="00C87822">
        <w:rPr>
          <w:shd w:val="clear" w:color="auto" w:fill="FFFFFF"/>
        </w:rPr>
        <w:t>rutier</w:t>
      </w:r>
      <w:proofErr w:type="spellEnd"/>
      <w:r w:rsidR="00C87822">
        <w:rPr>
          <w:shd w:val="clear" w:color="auto" w:fill="FFFFFF"/>
        </w:rPr>
        <w:t xml:space="preserve"> </w:t>
      </w:r>
      <w:proofErr w:type="spellStart"/>
      <w:r w:rsidR="00C87822">
        <w:rPr>
          <w:shd w:val="clear" w:color="auto" w:fill="FFFFFF"/>
        </w:rPr>
        <w:t>și</w:t>
      </w:r>
      <w:proofErr w:type="spellEnd"/>
      <w:r w:rsidR="00C87822">
        <w:rPr>
          <w:shd w:val="clear" w:color="auto" w:fill="FFFFFF"/>
        </w:rPr>
        <w:t xml:space="preserve"> </w:t>
      </w:r>
      <w:proofErr w:type="spellStart"/>
      <w:r w:rsidR="00C87822">
        <w:rPr>
          <w:shd w:val="clear" w:color="auto" w:fill="FFFFFF"/>
        </w:rPr>
        <w:t>feroviar</w:t>
      </w:r>
      <w:proofErr w:type="spellEnd"/>
      <w:r w:rsidR="002275AD" w:rsidRPr="002275AD">
        <w:rPr>
          <w:shd w:val="clear" w:color="auto" w:fill="FFFFFF"/>
        </w:rPr>
        <w:t xml:space="preserve">) cu </w:t>
      </w:r>
      <w:proofErr w:type="spellStart"/>
      <w:r w:rsidR="002275AD" w:rsidRPr="002275AD">
        <w:rPr>
          <w:shd w:val="clear" w:color="auto" w:fill="FFFFFF"/>
        </w:rPr>
        <w:t>privire</w:t>
      </w:r>
      <w:proofErr w:type="spellEnd"/>
      <w:r w:rsidR="002275AD" w:rsidRPr="002275AD">
        <w:rPr>
          <w:shd w:val="clear" w:color="auto" w:fill="FFFFFF"/>
        </w:rPr>
        <w:t xml:space="preserve"> la p</w:t>
      </w:r>
      <w:r w:rsidR="002275AD" w:rsidRPr="002275AD">
        <w:rPr>
          <w:b/>
          <w:lang w:val="ro-RO"/>
        </w:rPr>
        <w:t xml:space="preserve">ropunerea de Directivă a Parlamentului European și a Consiliului UE de renunțare la schimbarea sezonieră </w:t>
      </w:r>
      <w:proofErr w:type="gramStart"/>
      <w:r w:rsidR="002275AD" w:rsidRPr="002275AD">
        <w:rPr>
          <w:b/>
          <w:lang w:val="ro-RO"/>
        </w:rPr>
        <w:t>a</w:t>
      </w:r>
      <w:proofErr w:type="gramEnd"/>
      <w:r w:rsidR="002275AD" w:rsidRPr="002275AD">
        <w:rPr>
          <w:b/>
          <w:lang w:val="ro-RO"/>
        </w:rPr>
        <w:t xml:space="preserve"> orei și de abrogare a Directivei 2000/84/CE.</w:t>
      </w:r>
    </w:p>
    <w:p w14:paraId="49EDA961" w14:textId="3750784D" w:rsidR="00544BA1" w:rsidRPr="002275AD" w:rsidRDefault="00FB2F56" w:rsidP="002275AD">
      <w:pPr>
        <w:rPr>
          <w:shd w:val="clear" w:color="auto" w:fill="FFFFFF"/>
        </w:rPr>
      </w:pPr>
      <w:r w:rsidRPr="002275AD">
        <w:rPr>
          <w:shd w:val="clear" w:color="auto" w:fill="FFFFFF"/>
        </w:rPr>
        <w:t xml:space="preserve">Am </w:t>
      </w:r>
      <w:proofErr w:type="spellStart"/>
      <w:r w:rsidRPr="002275AD">
        <w:rPr>
          <w:shd w:val="clear" w:color="auto" w:fill="FFFFFF"/>
        </w:rPr>
        <w:t>aprecia</w:t>
      </w:r>
      <w:proofErr w:type="spellEnd"/>
      <w:r w:rsidRPr="002275AD">
        <w:rPr>
          <w:shd w:val="clear" w:color="auto" w:fill="FFFFFF"/>
        </w:rPr>
        <w:t xml:space="preserve"> </w:t>
      </w:r>
      <w:proofErr w:type="spellStart"/>
      <w:r w:rsidRPr="002275AD">
        <w:rPr>
          <w:shd w:val="clear" w:color="auto" w:fill="FFFFFF"/>
        </w:rPr>
        <w:t>dacă</w:t>
      </w:r>
      <w:proofErr w:type="spellEnd"/>
      <w:r w:rsidRPr="002275AD">
        <w:rPr>
          <w:shd w:val="clear" w:color="auto" w:fill="FFFFFF"/>
        </w:rPr>
        <w:t xml:space="preserve"> </w:t>
      </w:r>
      <w:proofErr w:type="spellStart"/>
      <w:r w:rsidRPr="002275AD">
        <w:rPr>
          <w:shd w:val="clear" w:color="auto" w:fill="FFFFFF"/>
        </w:rPr>
        <w:t>răspunsurile</w:t>
      </w:r>
      <w:proofErr w:type="spellEnd"/>
      <w:r w:rsidRPr="002275AD">
        <w:rPr>
          <w:shd w:val="clear" w:color="auto" w:fill="FFFFFF"/>
        </w:rPr>
        <w:t xml:space="preserve"> </w:t>
      </w:r>
      <w:proofErr w:type="spellStart"/>
      <w:r w:rsidRPr="002275AD">
        <w:rPr>
          <w:shd w:val="clear" w:color="auto" w:fill="FFFFFF"/>
        </w:rPr>
        <w:t>primite</w:t>
      </w:r>
      <w:proofErr w:type="spellEnd"/>
      <w:r w:rsidRPr="002275AD">
        <w:rPr>
          <w:shd w:val="clear" w:color="auto" w:fill="FFFFFF"/>
        </w:rPr>
        <w:t xml:space="preserve"> se </w:t>
      </w:r>
      <w:proofErr w:type="spellStart"/>
      <w:r w:rsidRPr="002275AD">
        <w:rPr>
          <w:shd w:val="clear" w:color="auto" w:fill="FFFFFF"/>
        </w:rPr>
        <w:t>vor</w:t>
      </w:r>
      <w:proofErr w:type="spellEnd"/>
      <w:r w:rsidRPr="002275AD">
        <w:rPr>
          <w:shd w:val="clear" w:color="auto" w:fill="FFFFFF"/>
        </w:rPr>
        <w:t xml:space="preserve"> </w:t>
      </w:r>
      <w:proofErr w:type="spellStart"/>
      <w:r w:rsidRPr="002275AD">
        <w:rPr>
          <w:shd w:val="clear" w:color="auto" w:fill="FFFFFF"/>
        </w:rPr>
        <w:t>concentra</w:t>
      </w:r>
      <w:proofErr w:type="spellEnd"/>
      <w:r w:rsidRPr="002275AD">
        <w:rPr>
          <w:shd w:val="clear" w:color="auto" w:fill="FFFFFF"/>
        </w:rPr>
        <w:t xml:space="preserve"> </w:t>
      </w:r>
      <w:proofErr w:type="spellStart"/>
      <w:r w:rsidRPr="002275AD">
        <w:rPr>
          <w:shd w:val="clear" w:color="auto" w:fill="FFFFFF"/>
        </w:rPr>
        <w:t>pe</w:t>
      </w:r>
      <w:proofErr w:type="spellEnd"/>
      <w:r w:rsidRPr="002275AD">
        <w:rPr>
          <w:shd w:val="clear" w:color="auto" w:fill="FFFFFF"/>
        </w:rPr>
        <w:t xml:space="preserve"> </w:t>
      </w:r>
      <w:proofErr w:type="spellStart"/>
      <w:r w:rsidRPr="002275AD">
        <w:rPr>
          <w:shd w:val="clear" w:color="auto" w:fill="FFFFFF"/>
        </w:rPr>
        <w:t>formularea</w:t>
      </w:r>
      <w:proofErr w:type="spellEnd"/>
      <w:r w:rsidRPr="002275AD">
        <w:rPr>
          <w:shd w:val="clear" w:color="auto" w:fill="FFFFFF"/>
        </w:rPr>
        <w:t xml:space="preserve"> </w:t>
      </w:r>
      <w:proofErr w:type="spellStart"/>
      <w:r w:rsidRPr="002275AD">
        <w:rPr>
          <w:shd w:val="clear" w:color="auto" w:fill="FFFFFF"/>
        </w:rPr>
        <w:t>unor</w:t>
      </w:r>
      <w:proofErr w:type="spellEnd"/>
      <w:r w:rsidRPr="002275AD">
        <w:rPr>
          <w:shd w:val="clear" w:color="auto" w:fill="FFFFFF"/>
        </w:rPr>
        <w:t xml:space="preserve"> </w:t>
      </w:r>
      <w:proofErr w:type="spellStart"/>
      <w:r w:rsidRPr="002275AD">
        <w:rPr>
          <w:shd w:val="clear" w:color="auto" w:fill="FFFFFF"/>
        </w:rPr>
        <w:t>opinii</w:t>
      </w:r>
      <w:proofErr w:type="spellEnd"/>
      <w:r w:rsidRPr="002275AD">
        <w:rPr>
          <w:shd w:val="clear" w:color="auto" w:fill="FFFFFF"/>
        </w:rPr>
        <w:t xml:space="preserve"> </w:t>
      </w:r>
      <w:r w:rsidR="009D3894" w:rsidRPr="002275AD">
        <w:rPr>
          <w:shd w:val="clear" w:color="auto" w:fill="FFFFFF"/>
        </w:rPr>
        <w:t>(</w:t>
      </w:r>
      <w:proofErr w:type="spellStart"/>
      <w:r w:rsidR="009D3894" w:rsidRPr="002275AD">
        <w:rPr>
          <w:shd w:val="clear" w:color="auto" w:fill="FFFFFF"/>
        </w:rPr>
        <w:t>propuneri</w:t>
      </w:r>
      <w:proofErr w:type="spellEnd"/>
      <w:r w:rsidR="009D3894" w:rsidRPr="002275AD">
        <w:rPr>
          <w:shd w:val="clear" w:color="auto" w:fill="FFFFFF"/>
        </w:rPr>
        <w:t>/</w:t>
      </w:r>
      <w:proofErr w:type="spellStart"/>
      <w:r w:rsidR="009D3894" w:rsidRPr="002275AD">
        <w:rPr>
          <w:shd w:val="clear" w:color="auto" w:fill="FFFFFF"/>
        </w:rPr>
        <w:t>observații</w:t>
      </w:r>
      <w:proofErr w:type="spellEnd"/>
      <w:r w:rsidR="009D3894" w:rsidRPr="002275AD">
        <w:rPr>
          <w:shd w:val="clear" w:color="auto" w:fill="FFFFFF"/>
        </w:rPr>
        <w:t xml:space="preserve"> </w:t>
      </w:r>
      <w:proofErr w:type="spellStart"/>
      <w:r w:rsidR="009D3894" w:rsidRPr="002275AD">
        <w:rPr>
          <w:shd w:val="clear" w:color="auto" w:fill="FFFFFF"/>
        </w:rPr>
        <w:t>cât</w:t>
      </w:r>
      <w:proofErr w:type="spellEnd"/>
      <w:r w:rsidR="009D3894" w:rsidRPr="002275AD">
        <w:rPr>
          <w:shd w:val="clear" w:color="auto" w:fill="FFFFFF"/>
        </w:rPr>
        <w:t xml:space="preserve"> </w:t>
      </w:r>
      <w:proofErr w:type="spellStart"/>
      <w:r w:rsidR="009D3894" w:rsidRPr="002275AD">
        <w:rPr>
          <w:shd w:val="clear" w:color="auto" w:fill="FFFFFF"/>
        </w:rPr>
        <w:t>mai</w:t>
      </w:r>
      <w:proofErr w:type="spellEnd"/>
      <w:r w:rsidR="009D3894" w:rsidRPr="002275AD">
        <w:rPr>
          <w:shd w:val="clear" w:color="auto" w:fill="FFFFFF"/>
        </w:rPr>
        <w:t xml:space="preserve"> concrete) </w:t>
      </w:r>
      <w:proofErr w:type="spellStart"/>
      <w:r w:rsidRPr="002275AD">
        <w:rPr>
          <w:shd w:val="clear" w:color="auto" w:fill="FFFFFF"/>
        </w:rPr>
        <w:t>asupra</w:t>
      </w:r>
      <w:proofErr w:type="spellEnd"/>
      <w:r w:rsidRPr="002275AD">
        <w:rPr>
          <w:shd w:val="clear" w:color="auto" w:fill="FFFFFF"/>
        </w:rPr>
        <w:t xml:space="preserve"> </w:t>
      </w:r>
      <w:proofErr w:type="spellStart"/>
      <w:r w:rsidR="006B3315" w:rsidRPr="002275AD">
        <w:rPr>
          <w:shd w:val="clear" w:color="auto" w:fill="FFFFFF"/>
        </w:rPr>
        <w:t>unor</w:t>
      </w:r>
      <w:proofErr w:type="spellEnd"/>
      <w:r w:rsidRPr="002275AD">
        <w:rPr>
          <w:shd w:val="clear" w:color="auto" w:fill="FFFFFF"/>
        </w:rPr>
        <w:t xml:space="preserve"> </w:t>
      </w:r>
      <w:proofErr w:type="spellStart"/>
      <w:r w:rsidRPr="002275AD">
        <w:rPr>
          <w:shd w:val="clear" w:color="auto" w:fill="FFFFFF"/>
        </w:rPr>
        <w:t>aspecte</w:t>
      </w:r>
      <w:proofErr w:type="spellEnd"/>
      <w:r w:rsidRPr="002275AD">
        <w:rPr>
          <w:shd w:val="clear" w:color="auto" w:fill="FFFFFF"/>
        </w:rPr>
        <w:t xml:space="preserve"> </w:t>
      </w:r>
      <w:proofErr w:type="spellStart"/>
      <w:r w:rsidR="006B3315" w:rsidRPr="002275AD">
        <w:rPr>
          <w:shd w:val="clear" w:color="auto" w:fill="FFFFFF"/>
        </w:rPr>
        <w:t>precum</w:t>
      </w:r>
      <w:proofErr w:type="spellEnd"/>
      <w:r w:rsidRPr="002275AD">
        <w:rPr>
          <w:shd w:val="clear" w:color="auto" w:fill="FFFFFF"/>
        </w:rPr>
        <w:t>:</w:t>
      </w:r>
      <w:r w:rsidR="006B3315" w:rsidRPr="002275AD">
        <w:rPr>
          <w:shd w:val="clear" w:color="auto" w:fill="FFFFFF"/>
        </w:rPr>
        <w:t xml:space="preserve"> </w:t>
      </w:r>
    </w:p>
    <w:p w14:paraId="4BA34AFD" w14:textId="77777777" w:rsidR="002275AD" w:rsidRPr="002275AD" w:rsidRDefault="002275AD" w:rsidP="002275AD">
      <w:pPr>
        <w:pStyle w:val="CommentText"/>
        <w:numPr>
          <w:ilvl w:val="0"/>
          <w:numId w:val="15"/>
        </w:numPr>
        <w:spacing w:after="120" w:line="276" w:lineRule="auto"/>
        <w:ind w:left="1701" w:firstLine="0"/>
        <w:jc w:val="both"/>
        <w:rPr>
          <w:rFonts w:ascii="Trebuchet MS" w:hAnsi="Trebuchet MS" w:cs="Arial"/>
          <w:i/>
          <w:sz w:val="22"/>
          <w:szCs w:val="22"/>
        </w:rPr>
      </w:pPr>
      <w:r w:rsidRPr="002275AD">
        <w:rPr>
          <w:rFonts w:ascii="Trebuchet MS" w:hAnsi="Trebuchet MS" w:cs="Arial"/>
          <w:i/>
          <w:sz w:val="22"/>
          <w:szCs w:val="22"/>
        </w:rPr>
        <w:t>Experiența generală privind schimbarea bianuală a orei.</w:t>
      </w:r>
    </w:p>
    <w:p w14:paraId="5280AA78" w14:textId="02770086" w:rsidR="002275AD" w:rsidRPr="002275AD" w:rsidRDefault="002275AD" w:rsidP="002275AD">
      <w:pPr>
        <w:pStyle w:val="CommentText"/>
        <w:numPr>
          <w:ilvl w:val="0"/>
          <w:numId w:val="15"/>
        </w:numPr>
        <w:spacing w:after="120" w:line="276" w:lineRule="auto"/>
        <w:ind w:left="1701" w:firstLine="0"/>
        <w:jc w:val="both"/>
        <w:rPr>
          <w:rFonts w:ascii="Trebuchet MS" w:hAnsi="Trebuchet MS" w:cs="Arial"/>
          <w:i/>
          <w:sz w:val="22"/>
          <w:szCs w:val="22"/>
        </w:rPr>
      </w:pPr>
      <w:r w:rsidRPr="002275AD">
        <w:rPr>
          <w:rFonts w:ascii="Trebuchet MS" w:hAnsi="Trebuchet MS" w:cs="Arial"/>
          <w:i/>
          <w:sz w:val="22"/>
          <w:szCs w:val="22"/>
        </w:rPr>
        <w:t>Continuarea  sau nu a inițiativei schimbării sezoniere a orei.</w:t>
      </w:r>
    </w:p>
    <w:p w14:paraId="2D18A047" w14:textId="7FDAA955" w:rsidR="002275AD" w:rsidRPr="002275AD" w:rsidRDefault="002275AD" w:rsidP="002275AD">
      <w:pPr>
        <w:pStyle w:val="CommentText"/>
        <w:numPr>
          <w:ilvl w:val="0"/>
          <w:numId w:val="15"/>
        </w:numPr>
        <w:spacing w:after="120" w:line="276" w:lineRule="auto"/>
        <w:ind w:left="1701" w:firstLine="0"/>
        <w:jc w:val="both"/>
        <w:rPr>
          <w:rFonts w:ascii="Trebuchet MS" w:hAnsi="Trebuchet MS" w:cs="Arial"/>
          <w:i/>
          <w:sz w:val="22"/>
          <w:szCs w:val="22"/>
        </w:rPr>
      </w:pPr>
      <w:r w:rsidRPr="002275AD">
        <w:rPr>
          <w:rFonts w:ascii="Trebuchet MS" w:hAnsi="Trebuchet MS" w:cs="Arial"/>
          <w:i/>
          <w:sz w:val="22"/>
          <w:szCs w:val="22"/>
        </w:rPr>
        <w:t>Motivele pro sau contra schimbării sezoniere a orei.</w:t>
      </w:r>
    </w:p>
    <w:p w14:paraId="24C97FBD" w14:textId="176CE28C" w:rsidR="002275AD" w:rsidRDefault="002275AD" w:rsidP="002275AD">
      <w:pPr>
        <w:pStyle w:val="CommentText"/>
        <w:numPr>
          <w:ilvl w:val="0"/>
          <w:numId w:val="15"/>
        </w:numPr>
        <w:spacing w:after="120" w:line="276" w:lineRule="auto"/>
        <w:ind w:left="1701" w:firstLine="0"/>
        <w:jc w:val="both"/>
        <w:rPr>
          <w:rFonts w:ascii="Trebuchet MS" w:hAnsi="Trebuchet MS" w:cs="Arial"/>
          <w:i/>
          <w:sz w:val="22"/>
          <w:szCs w:val="22"/>
        </w:rPr>
      </w:pPr>
      <w:r w:rsidRPr="002275AD">
        <w:rPr>
          <w:rFonts w:ascii="Trebuchet MS" w:hAnsi="Trebuchet MS" w:cs="Arial"/>
          <w:i/>
          <w:sz w:val="22"/>
          <w:szCs w:val="22"/>
        </w:rPr>
        <w:t>Ce se prefer</w:t>
      </w:r>
      <w:r w:rsidR="00C87822">
        <w:rPr>
          <w:rFonts w:ascii="Trebuchet MS" w:hAnsi="Trebuchet MS" w:cs="Arial"/>
          <w:i/>
          <w:sz w:val="22"/>
          <w:szCs w:val="22"/>
        </w:rPr>
        <w:t>ă: ora de vară sau cea de iarnă?</w:t>
      </w:r>
    </w:p>
    <w:p w14:paraId="4CD4B692" w14:textId="473BDF1D" w:rsidR="00C87822" w:rsidRPr="002275AD" w:rsidRDefault="00C87822" w:rsidP="002275AD">
      <w:pPr>
        <w:pStyle w:val="CommentText"/>
        <w:numPr>
          <w:ilvl w:val="0"/>
          <w:numId w:val="15"/>
        </w:numPr>
        <w:spacing w:after="120" w:line="276" w:lineRule="auto"/>
        <w:ind w:left="1701" w:firstLine="0"/>
        <w:jc w:val="both"/>
        <w:rPr>
          <w:rFonts w:ascii="Trebuchet MS" w:hAnsi="Trebuchet MS" w:cs="Arial"/>
          <w:i/>
          <w:sz w:val="22"/>
          <w:szCs w:val="22"/>
        </w:rPr>
      </w:pPr>
      <w:r>
        <w:rPr>
          <w:rFonts w:ascii="Trebuchet MS" w:hAnsi="Trebuchet MS" w:cs="Arial"/>
          <w:i/>
          <w:sz w:val="22"/>
          <w:szCs w:val="22"/>
        </w:rPr>
        <w:t>Opinia cu privire la posibilitatea stabilirii unor zone cu același fus orar.</w:t>
      </w:r>
      <w:bookmarkStart w:id="0" w:name="_GoBack"/>
      <w:bookmarkEnd w:id="0"/>
    </w:p>
    <w:p w14:paraId="38615CF7" w14:textId="39F47C51" w:rsidR="00DC2A5E" w:rsidRPr="002275AD" w:rsidRDefault="001A54FE" w:rsidP="002275AD">
      <w:pPr>
        <w:shd w:val="clear" w:color="auto" w:fill="FFFFFF"/>
        <w:spacing w:before="100" w:beforeAutospacing="1"/>
        <w:rPr>
          <w:b/>
          <w:lang w:val="ro-RO"/>
        </w:rPr>
      </w:pPr>
      <w:proofErr w:type="spellStart"/>
      <w:r w:rsidRPr="002275AD">
        <w:t>Participanții</w:t>
      </w:r>
      <w:proofErr w:type="spellEnd"/>
      <w:r w:rsidRPr="002275AD">
        <w:t xml:space="preserve"> la </w:t>
      </w:r>
      <w:proofErr w:type="spellStart"/>
      <w:r w:rsidRPr="002275AD">
        <w:t>consultare</w:t>
      </w:r>
      <w:proofErr w:type="spellEnd"/>
      <w:r w:rsidRPr="002275AD">
        <w:t xml:space="preserve"> </w:t>
      </w:r>
      <w:proofErr w:type="spellStart"/>
      <w:r w:rsidRPr="002275AD">
        <w:t>sunt</w:t>
      </w:r>
      <w:proofErr w:type="spellEnd"/>
      <w:r w:rsidRPr="002275AD">
        <w:t xml:space="preserve"> </w:t>
      </w:r>
      <w:proofErr w:type="spellStart"/>
      <w:r w:rsidRPr="002275AD">
        <w:t>invitați</w:t>
      </w:r>
      <w:proofErr w:type="spellEnd"/>
      <w:r w:rsidRPr="002275AD">
        <w:t xml:space="preserve"> </w:t>
      </w:r>
      <w:proofErr w:type="spellStart"/>
      <w:proofErr w:type="gramStart"/>
      <w:r w:rsidRPr="002275AD">
        <w:t>să</w:t>
      </w:r>
      <w:proofErr w:type="spellEnd"/>
      <w:proofErr w:type="gramEnd"/>
      <w:r w:rsidRPr="002275AD">
        <w:t xml:space="preserve"> </w:t>
      </w:r>
      <w:proofErr w:type="spellStart"/>
      <w:r w:rsidRPr="002275AD">
        <w:t>indice</w:t>
      </w:r>
      <w:proofErr w:type="spellEnd"/>
      <w:r w:rsidRPr="002275AD">
        <w:t xml:space="preserve"> de </w:t>
      </w:r>
      <w:proofErr w:type="spellStart"/>
      <w:r w:rsidRPr="002275AD">
        <w:t>asemenea</w:t>
      </w:r>
      <w:proofErr w:type="spellEnd"/>
      <w:r w:rsidRPr="002275AD">
        <w:t xml:space="preserve"> </w:t>
      </w:r>
      <w:proofErr w:type="spellStart"/>
      <w:r w:rsidRPr="002275AD">
        <w:t>și</w:t>
      </w:r>
      <w:proofErr w:type="spellEnd"/>
      <w:r w:rsidRPr="002275AD">
        <w:t xml:space="preserve"> </w:t>
      </w:r>
      <w:proofErr w:type="spellStart"/>
      <w:r w:rsidRPr="002275AD">
        <w:t>orice</w:t>
      </w:r>
      <w:proofErr w:type="spellEnd"/>
      <w:r w:rsidRPr="002275AD">
        <w:t xml:space="preserve"> </w:t>
      </w:r>
      <w:proofErr w:type="spellStart"/>
      <w:r w:rsidRPr="002275AD">
        <w:t>alte</w:t>
      </w:r>
      <w:proofErr w:type="spellEnd"/>
      <w:r w:rsidRPr="002275AD">
        <w:t xml:space="preserve"> </w:t>
      </w:r>
      <w:proofErr w:type="spellStart"/>
      <w:r w:rsidRPr="002275AD">
        <w:t>aspecte</w:t>
      </w:r>
      <w:proofErr w:type="spellEnd"/>
      <w:r w:rsidRPr="002275AD">
        <w:t xml:space="preserve"> care </w:t>
      </w:r>
      <w:proofErr w:type="spellStart"/>
      <w:r w:rsidRPr="002275AD">
        <w:t>consideră</w:t>
      </w:r>
      <w:proofErr w:type="spellEnd"/>
      <w:r w:rsidRPr="002275AD">
        <w:t xml:space="preserve"> </w:t>
      </w:r>
      <w:proofErr w:type="spellStart"/>
      <w:r w:rsidRPr="002275AD">
        <w:t>că</w:t>
      </w:r>
      <w:proofErr w:type="spellEnd"/>
      <w:r w:rsidRPr="002275AD">
        <w:t xml:space="preserve"> </w:t>
      </w:r>
      <w:proofErr w:type="spellStart"/>
      <w:r w:rsidRPr="002275AD">
        <w:t>sunt</w:t>
      </w:r>
      <w:proofErr w:type="spellEnd"/>
      <w:r w:rsidRPr="002275AD">
        <w:t xml:space="preserve"> </w:t>
      </w:r>
      <w:proofErr w:type="spellStart"/>
      <w:r w:rsidRPr="002275AD">
        <w:t>incidente</w:t>
      </w:r>
      <w:proofErr w:type="spellEnd"/>
      <w:r w:rsidRPr="002275AD">
        <w:t xml:space="preserve"> </w:t>
      </w:r>
      <w:proofErr w:type="spellStart"/>
      <w:r w:rsidRPr="002275AD">
        <w:t>sau</w:t>
      </w:r>
      <w:proofErr w:type="spellEnd"/>
      <w:r w:rsidRPr="002275AD">
        <w:t xml:space="preserve"> </w:t>
      </w:r>
      <w:proofErr w:type="spellStart"/>
      <w:r w:rsidRPr="002275AD">
        <w:t>prezintă</w:t>
      </w:r>
      <w:proofErr w:type="spellEnd"/>
      <w:r w:rsidRPr="002275AD">
        <w:t xml:space="preserve"> </w:t>
      </w:r>
      <w:proofErr w:type="spellStart"/>
      <w:r w:rsidRPr="002275AD">
        <w:t>relevanță</w:t>
      </w:r>
      <w:proofErr w:type="spellEnd"/>
      <w:r w:rsidRPr="002275AD">
        <w:t xml:space="preserve"> </w:t>
      </w:r>
      <w:proofErr w:type="spellStart"/>
      <w:r w:rsidRPr="002275AD">
        <w:t>pentru</w:t>
      </w:r>
      <w:proofErr w:type="spellEnd"/>
      <w:r w:rsidRPr="002275AD">
        <w:t xml:space="preserve"> </w:t>
      </w:r>
      <w:proofErr w:type="spellStart"/>
      <w:r w:rsidRPr="002275AD">
        <w:t>argumentarea</w:t>
      </w:r>
      <w:proofErr w:type="spellEnd"/>
      <w:r w:rsidRPr="002275AD">
        <w:t xml:space="preserve"> </w:t>
      </w:r>
      <w:proofErr w:type="spellStart"/>
      <w:r w:rsidRPr="002275AD">
        <w:t>poziției</w:t>
      </w:r>
      <w:proofErr w:type="spellEnd"/>
      <w:r w:rsidRPr="002275AD">
        <w:t xml:space="preserve"> </w:t>
      </w:r>
      <w:proofErr w:type="spellStart"/>
      <w:r w:rsidRPr="002275AD">
        <w:t>acestora</w:t>
      </w:r>
      <w:proofErr w:type="spellEnd"/>
      <w:r w:rsidRPr="002275AD">
        <w:t xml:space="preserve"> </w:t>
      </w:r>
      <w:proofErr w:type="spellStart"/>
      <w:r w:rsidRPr="002275AD">
        <w:t>pe</w:t>
      </w:r>
      <w:proofErr w:type="spellEnd"/>
      <w:r w:rsidRPr="002275AD">
        <w:t xml:space="preserve"> </w:t>
      </w:r>
      <w:proofErr w:type="spellStart"/>
      <w:r w:rsidRPr="002275AD">
        <w:t>m</w:t>
      </w:r>
      <w:r w:rsidR="00505C27" w:rsidRPr="002275AD">
        <w:t>arginea</w:t>
      </w:r>
      <w:proofErr w:type="spellEnd"/>
      <w:r w:rsidR="00505C27" w:rsidRPr="002275AD">
        <w:t xml:space="preserve"> </w:t>
      </w:r>
      <w:proofErr w:type="spellStart"/>
      <w:r w:rsidR="00505C27" w:rsidRPr="002275AD">
        <w:t>propunerii</w:t>
      </w:r>
      <w:proofErr w:type="spellEnd"/>
      <w:r w:rsidR="00505C27" w:rsidRPr="002275AD">
        <w:t xml:space="preserve"> de </w:t>
      </w:r>
      <w:proofErr w:type="spellStart"/>
      <w:r w:rsidR="00505C27" w:rsidRPr="002275AD">
        <w:t>Directivă</w:t>
      </w:r>
      <w:proofErr w:type="spellEnd"/>
      <w:r w:rsidRPr="002275AD">
        <w:t>.</w:t>
      </w:r>
    </w:p>
    <w:sectPr w:rsidR="00DC2A5E" w:rsidRPr="002275AD" w:rsidSect="001A6191">
      <w:headerReference w:type="default" r:id="rId11"/>
      <w:headerReference w:type="first" r:id="rId12"/>
      <w:footerReference w:type="first" r:id="rId13"/>
      <w:pgSz w:w="11900" w:h="16840"/>
      <w:pgMar w:top="1674" w:right="701" w:bottom="1702" w:left="567" w:header="567" w:footer="50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6A877" w14:textId="77777777" w:rsidR="00B67A79" w:rsidRDefault="00B67A79" w:rsidP="00CD5B3B">
      <w:r>
        <w:separator/>
      </w:r>
    </w:p>
  </w:endnote>
  <w:endnote w:type="continuationSeparator" w:id="0">
    <w:p w14:paraId="67666801" w14:textId="77777777" w:rsidR="00B67A79" w:rsidRDefault="00B67A79"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D8491" w14:textId="18B00A62" w:rsidR="00E562FC" w:rsidRPr="002275AD" w:rsidRDefault="00E562FC" w:rsidP="002275AD">
    <w:pPr>
      <w:pStyle w:val="Footer"/>
      <w:spacing w:after="0"/>
      <w:ind w:left="0"/>
      <w:rPr>
        <w:b/>
        <w:sz w:val="14"/>
        <w:szCs w:val="14"/>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7F0FE5" w14:textId="77777777" w:rsidR="00B67A79" w:rsidRDefault="00B67A79" w:rsidP="00CD5B3B">
      <w:r>
        <w:separator/>
      </w:r>
    </w:p>
  </w:footnote>
  <w:footnote w:type="continuationSeparator" w:id="0">
    <w:p w14:paraId="53AA5C18" w14:textId="77777777" w:rsidR="00B67A79" w:rsidRDefault="00B67A79" w:rsidP="00CD5B3B">
      <w:r>
        <w:continuationSeparator/>
      </w:r>
    </w:p>
  </w:footnote>
  <w:footnote w:id="1">
    <w:p w14:paraId="19E2CD29" w14:textId="77777777" w:rsidR="00287530" w:rsidRDefault="00287530" w:rsidP="00287530">
      <w:pPr>
        <w:pStyle w:val="FootnoteText"/>
      </w:pPr>
      <w:r>
        <w:rPr>
          <w:rStyle w:val="FootnoteReference"/>
        </w:rPr>
        <w:footnoteRef/>
      </w:r>
      <w:r>
        <w:tab/>
        <w:t xml:space="preserve">Comisia </w:t>
      </w:r>
      <w:proofErr w:type="spellStart"/>
      <w:r>
        <w:t>Europeană</w:t>
      </w:r>
      <w:proofErr w:type="spellEnd"/>
      <w:r>
        <w:t xml:space="preserve">, </w:t>
      </w:r>
      <w:proofErr w:type="spellStart"/>
      <w:r>
        <w:t>Introducerea</w:t>
      </w:r>
      <w:proofErr w:type="spellEnd"/>
      <w:r>
        <w:t xml:space="preserve"> </w:t>
      </w:r>
      <w:proofErr w:type="spellStart"/>
      <w:r>
        <w:t>orei</w:t>
      </w:r>
      <w:proofErr w:type="spellEnd"/>
      <w:r>
        <w:t xml:space="preserve"> de </w:t>
      </w:r>
      <w:proofErr w:type="spellStart"/>
      <w:r>
        <w:t>vară</w:t>
      </w:r>
      <w:proofErr w:type="spellEnd"/>
      <w:r>
        <w:t xml:space="preserve"> </w:t>
      </w:r>
      <w:proofErr w:type="spellStart"/>
      <w:r>
        <w:t>în</w:t>
      </w:r>
      <w:proofErr w:type="spellEnd"/>
      <w:r>
        <w:t xml:space="preserve"> </w:t>
      </w:r>
      <w:proofErr w:type="spellStart"/>
      <w:r>
        <w:t>Comunitate</w:t>
      </w:r>
      <w:proofErr w:type="spellEnd"/>
      <w:r>
        <w:t xml:space="preserve">, COM(75)319, https://eur-lex.europa.eu/legal-content/EN/TXT/?qid=1508082547523&amp;uri=CELEX:51975DC0319 </w:t>
      </w:r>
    </w:p>
  </w:footnote>
  <w:footnote w:id="2">
    <w:p w14:paraId="2CE56DC5" w14:textId="77777777" w:rsidR="00287530" w:rsidRDefault="00287530" w:rsidP="00287530">
      <w:pPr>
        <w:pStyle w:val="FootnoteText"/>
      </w:pPr>
      <w:r>
        <w:rPr>
          <w:rStyle w:val="FootnoteReference"/>
        </w:rPr>
        <w:footnoteRef/>
      </w:r>
      <w:r>
        <w:tab/>
      </w:r>
      <w:proofErr w:type="gramStart"/>
      <w:r>
        <w:t xml:space="preserve">De </w:t>
      </w:r>
      <w:proofErr w:type="spellStart"/>
      <w:r>
        <w:t>exemplu</w:t>
      </w:r>
      <w:proofErr w:type="spellEnd"/>
      <w:r>
        <w:t xml:space="preserve">, </w:t>
      </w:r>
      <w:proofErr w:type="spellStart"/>
      <w:r>
        <w:t>raportul</w:t>
      </w:r>
      <w:proofErr w:type="spellEnd"/>
      <w:r>
        <w:t xml:space="preserve"> din 2017 al </w:t>
      </w:r>
      <w:proofErr w:type="spellStart"/>
      <w:r>
        <w:t>Serviciului</w:t>
      </w:r>
      <w:proofErr w:type="spellEnd"/>
      <w:r>
        <w:t xml:space="preserve"> de </w:t>
      </w:r>
      <w:proofErr w:type="spellStart"/>
      <w:r>
        <w:t>cercetare</w:t>
      </w:r>
      <w:proofErr w:type="spellEnd"/>
      <w:r>
        <w:t xml:space="preserve"> al </w:t>
      </w:r>
      <w:proofErr w:type="spellStart"/>
      <w:r>
        <w:t>Parlamentului</w:t>
      </w:r>
      <w:proofErr w:type="spellEnd"/>
      <w:r>
        <w:t xml:space="preserve"> European.</w:t>
      </w:r>
      <w:proofErr w:type="gramEnd"/>
    </w:p>
  </w:footnote>
  <w:footnote w:id="3">
    <w:p w14:paraId="62BE76EF" w14:textId="77777777" w:rsidR="00287530" w:rsidRDefault="00287530" w:rsidP="00287530">
      <w:pPr>
        <w:pStyle w:val="FootnoteText"/>
        <w:rPr>
          <w:highlight w:val="yellow"/>
        </w:rPr>
      </w:pPr>
      <w:r>
        <w:rPr>
          <w:rStyle w:val="FootnoteReference"/>
        </w:rPr>
        <w:footnoteRef/>
      </w:r>
      <w:r>
        <w:tab/>
        <w:t xml:space="preserve">ICF International, </w:t>
      </w:r>
      <w:hyperlink r:id="rId1">
        <w:proofErr w:type="spellStart"/>
        <w:r>
          <w:rPr>
            <w:rStyle w:val="Hyperlink"/>
          </w:rPr>
          <w:t>Aplicarea</w:t>
        </w:r>
        <w:proofErr w:type="spellEnd"/>
        <w:r>
          <w:rPr>
            <w:rStyle w:val="Hyperlink"/>
          </w:rPr>
          <w:t xml:space="preserve"> </w:t>
        </w:r>
        <w:proofErr w:type="spellStart"/>
        <w:r>
          <w:rPr>
            <w:rStyle w:val="Hyperlink"/>
          </w:rPr>
          <w:t>orei</w:t>
        </w:r>
        <w:proofErr w:type="spellEnd"/>
        <w:r>
          <w:rPr>
            <w:rStyle w:val="Hyperlink"/>
          </w:rPr>
          <w:t xml:space="preserve"> de </w:t>
        </w:r>
        <w:proofErr w:type="spellStart"/>
        <w:r>
          <w:rPr>
            <w:rStyle w:val="Hyperlink"/>
          </w:rPr>
          <w:t>vară</w:t>
        </w:r>
        <w:proofErr w:type="spellEnd"/>
        <w:r>
          <w:rPr>
            <w:rStyle w:val="Hyperlink"/>
          </w:rPr>
          <w:t xml:space="preserve"> </w:t>
        </w:r>
        <w:proofErr w:type="spellStart"/>
        <w:r>
          <w:rPr>
            <w:rStyle w:val="Hyperlink"/>
          </w:rPr>
          <w:t>în</w:t>
        </w:r>
        <w:proofErr w:type="spellEnd"/>
        <w:r>
          <w:rPr>
            <w:rStyle w:val="Hyperlink"/>
          </w:rPr>
          <w:t xml:space="preserve"> Europa: un </w:t>
        </w:r>
        <w:proofErr w:type="spellStart"/>
        <w:r>
          <w:rPr>
            <w:rStyle w:val="Hyperlink"/>
          </w:rPr>
          <w:t>raport</w:t>
        </w:r>
        <w:proofErr w:type="spellEnd"/>
        <w:r>
          <w:rPr>
            <w:rStyle w:val="Hyperlink"/>
          </w:rPr>
          <w:t xml:space="preserve"> </w:t>
        </w:r>
        <w:proofErr w:type="spellStart"/>
        <w:r>
          <w:rPr>
            <w:rStyle w:val="Hyperlink"/>
          </w:rPr>
          <w:t>către</w:t>
        </w:r>
        <w:proofErr w:type="spellEnd"/>
        <w:r>
          <w:rPr>
            <w:rStyle w:val="Hyperlink"/>
          </w:rPr>
          <w:t xml:space="preserve"> </w:t>
        </w:r>
        <w:proofErr w:type="spellStart"/>
        <w:r>
          <w:rPr>
            <w:rStyle w:val="Hyperlink"/>
          </w:rPr>
          <w:t>Direcția</w:t>
        </w:r>
        <w:proofErr w:type="spellEnd"/>
        <w:r>
          <w:rPr>
            <w:rStyle w:val="Hyperlink"/>
          </w:rPr>
          <w:t xml:space="preserve"> </w:t>
        </w:r>
        <w:proofErr w:type="spellStart"/>
        <w:r>
          <w:rPr>
            <w:rStyle w:val="Hyperlink"/>
          </w:rPr>
          <w:t>Generală</w:t>
        </w:r>
        <w:proofErr w:type="spellEnd"/>
        <w:r>
          <w:rPr>
            <w:rStyle w:val="Hyperlink"/>
          </w:rPr>
          <w:t xml:space="preserve"> </w:t>
        </w:r>
        <w:proofErr w:type="spellStart"/>
        <w:r>
          <w:rPr>
            <w:rStyle w:val="Hyperlink"/>
          </w:rPr>
          <w:t>Mobilitate</w:t>
        </w:r>
        <w:proofErr w:type="spellEnd"/>
        <w:r>
          <w:rPr>
            <w:rStyle w:val="Hyperlink"/>
          </w:rPr>
          <w:t xml:space="preserve"> </w:t>
        </w:r>
        <w:proofErr w:type="spellStart"/>
        <w:r>
          <w:rPr>
            <w:rStyle w:val="Hyperlink"/>
          </w:rPr>
          <w:t>și</w:t>
        </w:r>
        <w:proofErr w:type="spellEnd"/>
        <w:r>
          <w:rPr>
            <w:rStyle w:val="Hyperlink"/>
          </w:rPr>
          <w:t xml:space="preserve"> </w:t>
        </w:r>
        <w:proofErr w:type="spellStart"/>
        <w:r>
          <w:rPr>
            <w:rStyle w:val="Hyperlink"/>
          </w:rPr>
          <w:t>Transporturi</w:t>
        </w:r>
        <w:proofErr w:type="spellEnd"/>
        <w:r>
          <w:rPr>
            <w:rStyle w:val="Hyperlink"/>
          </w:rPr>
          <w:t xml:space="preserve"> a </w:t>
        </w:r>
        <w:proofErr w:type="spellStart"/>
        <w:r>
          <w:rPr>
            <w:rStyle w:val="Hyperlink"/>
          </w:rPr>
          <w:t>Comisiei</w:t>
        </w:r>
        <w:proofErr w:type="spellEnd"/>
        <w:r>
          <w:rPr>
            <w:rStyle w:val="Hyperlink"/>
          </w:rPr>
          <w:t xml:space="preserve"> </w:t>
        </w:r>
        <w:proofErr w:type="spellStart"/>
        <w:r>
          <w:rPr>
            <w:rStyle w:val="Hyperlink"/>
          </w:rPr>
          <w:t>Europene</w:t>
        </w:r>
        <w:proofErr w:type="spellEnd"/>
        <w:r>
          <w:rPr>
            <w:rStyle w:val="Hyperlink"/>
          </w:rPr>
          <w:t xml:space="preserve"> (DG MOVE), </w:t>
        </w:r>
        <w:proofErr w:type="spellStart"/>
        <w:r>
          <w:rPr>
            <w:rStyle w:val="Hyperlink"/>
          </w:rPr>
          <w:t>septembrie</w:t>
        </w:r>
        <w:proofErr w:type="spellEnd"/>
        <w:r>
          <w:rPr>
            <w:rStyle w:val="Hyperlink"/>
          </w:rPr>
          <w:t xml:space="preserve"> 2014</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4" w:type="dxa"/>
      <w:tblInd w:w="1701" w:type="dxa"/>
      <w:tblCellMar>
        <w:left w:w="0" w:type="dxa"/>
        <w:right w:w="0" w:type="dxa"/>
      </w:tblCellMar>
      <w:tblLook w:val="04A0" w:firstRow="1" w:lastRow="0" w:firstColumn="1" w:lastColumn="0" w:noHBand="0" w:noVBand="1"/>
    </w:tblPr>
    <w:tblGrid>
      <w:gridCol w:w="5103"/>
      <w:gridCol w:w="4111"/>
    </w:tblGrid>
    <w:tr w:rsidR="00766E0E" w14:paraId="304D8483" w14:textId="77777777" w:rsidTr="00C20EF1">
      <w:tc>
        <w:tcPr>
          <w:tcW w:w="5103" w:type="dxa"/>
          <w:shd w:val="clear" w:color="auto" w:fill="auto"/>
        </w:tcPr>
        <w:p w14:paraId="304D8481" w14:textId="77777777" w:rsidR="00766E0E" w:rsidRPr="00CD5B3B" w:rsidRDefault="000B6258" w:rsidP="00E562FC">
          <w:pPr>
            <w:pStyle w:val="MediumGrid21"/>
          </w:pPr>
          <w:r>
            <w:rPr>
              <w:noProof/>
            </w:rPr>
            <w:drawing>
              <wp:inline distT="0" distB="0" distL="0" distR="0" wp14:anchorId="304D8492" wp14:editId="304D8493">
                <wp:extent cx="2852420" cy="198755"/>
                <wp:effectExtent l="0" t="0" r="5080" b="0"/>
                <wp:docPr id="7" name="Picture 7" descr="C:\Users\adrian.olteanu\Desktop\identitate\foi_antet\logo_antet\logo_antet_MT_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rian.olteanu\Desktop\identitate\foi_antet\logo_antet\logo_antet_MT_p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2420" cy="198755"/>
                        </a:xfrm>
                        <a:prstGeom prst="rect">
                          <a:avLst/>
                        </a:prstGeom>
                        <a:noFill/>
                        <a:ln>
                          <a:noFill/>
                        </a:ln>
                      </pic:spPr>
                    </pic:pic>
                  </a:graphicData>
                </a:graphic>
              </wp:inline>
            </w:drawing>
          </w:r>
        </w:p>
      </w:tc>
      <w:tc>
        <w:tcPr>
          <w:tcW w:w="4111" w:type="dxa"/>
          <w:shd w:val="clear" w:color="auto" w:fill="auto"/>
          <w:vAlign w:val="center"/>
        </w:tcPr>
        <w:p w14:paraId="304D8482" w14:textId="77777777" w:rsidR="00766E0E" w:rsidRDefault="00766E0E" w:rsidP="00C20EF1">
          <w:pPr>
            <w:pStyle w:val="MediumGrid21"/>
            <w:jc w:val="right"/>
          </w:pPr>
          <w:proofErr w:type="spellStart"/>
          <w:r>
            <w:t>Nesecret</w:t>
          </w:r>
          <w:proofErr w:type="spellEnd"/>
        </w:p>
      </w:tc>
    </w:tr>
  </w:tbl>
  <w:p w14:paraId="304D8484" w14:textId="77777777" w:rsidR="00766E0E" w:rsidRPr="00CD5B3B" w:rsidRDefault="00766E0E" w:rsidP="003267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915" w:type="dxa"/>
      <w:tblCellMar>
        <w:left w:w="0" w:type="dxa"/>
        <w:right w:w="0" w:type="dxa"/>
      </w:tblCellMar>
      <w:tblLook w:val="04A0" w:firstRow="1" w:lastRow="0" w:firstColumn="1" w:lastColumn="0" w:noHBand="0" w:noVBand="1"/>
    </w:tblPr>
    <w:tblGrid>
      <w:gridCol w:w="6804"/>
      <w:gridCol w:w="4111"/>
    </w:tblGrid>
    <w:tr w:rsidR="00E562FC" w14:paraId="304D848C" w14:textId="77777777" w:rsidTr="00E562FC">
      <w:tc>
        <w:tcPr>
          <w:tcW w:w="6804" w:type="dxa"/>
          <w:shd w:val="clear" w:color="auto" w:fill="auto"/>
        </w:tcPr>
        <w:p w14:paraId="304D848A" w14:textId="3FE6A454" w:rsidR="00E562FC" w:rsidRPr="00CD5B3B" w:rsidRDefault="000B6258" w:rsidP="00C20EF1">
          <w:pPr>
            <w:pStyle w:val="MediumGrid21"/>
          </w:pPr>
          <w:r>
            <w:rPr>
              <w:noProof/>
            </w:rPr>
            <w:drawing>
              <wp:inline distT="0" distB="0" distL="0" distR="0" wp14:anchorId="304D8494" wp14:editId="304D8495">
                <wp:extent cx="3926205" cy="894715"/>
                <wp:effectExtent l="0" t="0" r="0" b="635"/>
                <wp:docPr id="5" name="Picture 5" descr="C:\Users\adrian.olteanu\Desktop\identitate\foi_antet\logo_antet\logo_antet_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rian.olteanu\Desktop\identitate\foi_antet\logo_antet\logo_antet_M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6205" cy="894715"/>
                        </a:xfrm>
                        <a:prstGeom prst="rect">
                          <a:avLst/>
                        </a:prstGeom>
                        <a:noFill/>
                        <a:ln>
                          <a:noFill/>
                        </a:ln>
                      </pic:spPr>
                    </pic:pic>
                  </a:graphicData>
                </a:graphic>
              </wp:inline>
            </w:drawing>
          </w:r>
        </w:p>
      </w:tc>
      <w:tc>
        <w:tcPr>
          <w:tcW w:w="4111" w:type="dxa"/>
          <w:shd w:val="clear" w:color="auto" w:fill="auto"/>
          <w:vAlign w:val="center"/>
        </w:tcPr>
        <w:p w14:paraId="304D848B" w14:textId="2877A022" w:rsidR="00E562FC" w:rsidRDefault="00E0075F" w:rsidP="00E562FC">
          <w:pPr>
            <w:pStyle w:val="MediumGrid21"/>
            <w:jc w:val="right"/>
          </w:pPr>
          <w:r>
            <w:rPr>
              <w:noProof/>
            </w:rPr>
            <w:drawing>
              <wp:anchor distT="0" distB="0" distL="114300" distR="114300" simplePos="0" relativeHeight="251659264" behindDoc="0" locked="0" layoutInCell="1" allowOverlap="1" wp14:anchorId="10A4E575" wp14:editId="476929DB">
                <wp:simplePos x="0" y="0"/>
                <wp:positionH relativeFrom="margin">
                  <wp:posOffset>1198245</wp:posOffset>
                </wp:positionH>
                <wp:positionV relativeFrom="paragraph">
                  <wp:posOffset>-335280</wp:posOffset>
                </wp:positionV>
                <wp:extent cx="1838325" cy="688975"/>
                <wp:effectExtent l="0" t="0" r="9525" b="0"/>
                <wp:wrapThrough wrapText="bothSides">
                  <wp:wrapPolygon edited="0">
                    <wp:start x="10073" y="0"/>
                    <wp:lineTo x="1343" y="2389"/>
                    <wp:lineTo x="1343" y="7764"/>
                    <wp:lineTo x="12087" y="9556"/>
                    <wp:lineTo x="0" y="13139"/>
                    <wp:lineTo x="0" y="20903"/>
                    <wp:lineTo x="21488" y="20903"/>
                    <wp:lineTo x="21488" y="13139"/>
                    <wp:lineTo x="14102" y="9556"/>
                    <wp:lineTo x="19697" y="8361"/>
                    <wp:lineTo x="20369" y="5375"/>
                    <wp:lineTo x="17683" y="0"/>
                    <wp:lineTo x="1007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LA_CENTENAR_CMYK.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38325" cy="688975"/>
                        </a:xfrm>
                        <a:prstGeom prst="rect">
                          <a:avLst/>
                        </a:prstGeom>
                      </pic:spPr>
                    </pic:pic>
                  </a:graphicData>
                </a:graphic>
                <wp14:sizeRelH relativeFrom="page">
                  <wp14:pctWidth>0</wp14:pctWidth>
                </wp14:sizeRelH>
                <wp14:sizeRelV relativeFrom="page">
                  <wp14:pctHeight>0</wp14:pctHeight>
                </wp14:sizeRelV>
              </wp:anchor>
            </w:drawing>
          </w:r>
        </w:p>
      </w:tc>
    </w:tr>
  </w:tbl>
  <w:p w14:paraId="304D848D" w14:textId="013CF760" w:rsidR="00E562FC" w:rsidRDefault="00E562FC" w:rsidP="00E562FC">
    <w:pPr>
      <w:pStyle w:val="Header"/>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B0C88"/>
    <w:multiLevelType w:val="hybridMultilevel"/>
    <w:tmpl w:val="F62CB99E"/>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4E61F3"/>
    <w:multiLevelType w:val="hybridMultilevel"/>
    <w:tmpl w:val="FC6C6CDA"/>
    <w:lvl w:ilvl="0" w:tplc="4412B8F4">
      <w:start w:val="1"/>
      <w:numFmt w:val="decimal"/>
      <w:lvlText w:val="%1."/>
      <w:lvlJc w:val="left"/>
      <w:pPr>
        <w:ind w:left="206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463096"/>
    <w:multiLevelType w:val="hybridMultilevel"/>
    <w:tmpl w:val="10109502"/>
    <w:lvl w:ilvl="0" w:tplc="AA340416">
      <w:start w:val="4"/>
      <w:numFmt w:val="bullet"/>
      <w:lvlText w:val="-"/>
      <w:lvlJc w:val="left"/>
      <w:pPr>
        <w:ind w:left="2061" w:hanging="360"/>
      </w:pPr>
      <w:rPr>
        <w:rFonts w:ascii="Trebuchet MS" w:eastAsia="MS Mincho" w:hAnsi="Trebuchet MS" w:cs="Times New Roman" w:hint="default"/>
        <w:b w:val="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
    <w:nsid w:val="1B165537"/>
    <w:multiLevelType w:val="hybridMultilevel"/>
    <w:tmpl w:val="AC302D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F7617E8"/>
    <w:multiLevelType w:val="multilevel"/>
    <w:tmpl w:val="8B06CB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A80889"/>
    <w:multiLevelType w:val="hybridMultilevel"/>
    <w:tmpl w:val="3EEEBC16"/>
    <w:lvl w:ilvl="0" w:tplc="286E70D8">
      <w:numFmt w:val="bullet"/>
      <w:lvlText w:val="-"/>
      <w:lvlJc w:val="left"/>
      <w:pPr>
        <w:ind w:left="2421" w:hanging="360"/>
      </w:pPr>
      <w:rPr>
        <w:rFonts w:ascii="Times New Roman" w:eastAsiaTheme="minorHAnsi" w:hAnsi="Times New Roman"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nsid w:val="316071D1"/>
    <w:multiLevelType w:val="hybridMultilevel"/>
    <w:tmpl w:val="3036DE48"/>
    <w:lvl w:ilvl="0" w:tplc="B5C6016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7">
    <w:nsid w:val="343C196A"/>
    <w:multiLevelType w:val="hybridMultilevel"/>
    <w:tmpl w:val="F20AF256"/>
    <w:lvl w:ilvl="0" w:tplc="076896F6">
      <w:start w:val="1"/>
      <w:numFmt w:val="bullet"/>
      <w:lvlText w:val="-"/>
      <w:lvlJc w:val="left"/>
      <w:pPr>
        <w:ind w:left="2061" w:hanging="360"/>
      </w:pPr>
      <w:rPr>
        <w:rFonts w:ascii="Arial" w:eastAsia="MS Mincho" w:hAnsi="Arial" w:cs="Arial" w:hint="default"/>
        <w:b/>
        <w:color w:val="6A6A6A"/>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9">
    <w:nsid w:val="47CC2ADC"/>
    <w:multiLevelType w:val="hybridMultilevel"/>
    <w:tmpl w:val="33360A6C"/>
    <w:lvl w:ilvl="0" w:tplc="0002A8B8">
      <w:start w:val="4"/>
      <w:numFmt w:val="bullet"/>
      <w:lvlText w:val="-"/>
      <w:lvlJc w:val="left"/>
      <w:pPr>
        <w:ind w:left="2061" w:hanging="360"/>
      </w:pPr>
      <w:rPr>
        <w:rFonts w:ascii="Trebuchet MS" w:eastAsia="MS Mincho" w:hAnsi="Trebuchet MS"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nsid w:val="47EB54EF"/>
    <w:multiLevelType w:val="hybridMultilevel"/>
    <w:tmpl w:val="F3AA5C28"/>
    <w:lvl w:ilvl="0" w:tplc="4412B8F4">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nsid w:val="5160083B"/>
    <w:multiLevelType w:val="hybridMultilevel"/>
    <w:tmpl w:val="529221A8"/>
    <w:lvl w:ilvl="0" w:tplc="E88CD5B0">
      <w:start w:val="1"/>
      <w:numFmt w:val="bullet"/>
      <w:lvlText w:val="-"/>
      <w:lvlJc w:val="left"/>
      <w:pPr>
        <w:ind w:left="2421" w:hanging="360"/>
      </w:pPr>
      <w:rPr>
        <w:rFonts w:ascii="Trebuchet MS" w:eastAsia="MS Mincho" w:hAnsi="Trebuchet MS"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nsid w:val="53EE1B57"/>
    <w:multiLevelType w:val="hybridMultilevel"/>
    <w:tmpl w:val="713ED368"/>
    <w:lvl w:ilvl="0" w:tplc="ED383AFE">
      <w:start w:val="2"/>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nsid w:val="57680A76"/>
    <w:multiLevelType w:val="hybridMultilevel"/>
    <w:tmpl w:val="475C21F2"/>
    <w:lvl w:ilvl="0" w:tplc="8B66595A">
      <w:start w:val="1"/>
      <w:numFmt w:val="lowerLetter"/>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5">
    <w:nsid w:val="601D13B7"/>
    <w:multiLevelType w:val="hybridMultilevel"/>
    <w:tmpl w:val="13ACEAD0"/>
    <w:lvl w:ilvl="0" w:tplc="04090017">
      <w:start w:val="1"/>
      <w:numFmt w:val="lowerLetter"/>
      <w:lvlText w:val="%1)"/>
      <w:lvlJc w:val="left"/>
      <w:pPr>
        <w:ind w:left="2781" w:hanging="360"/>
      </w:pPr>
    </w:lvl>
    <w:lvl w:ilvl="1" w:tplc="04090019" w:tentative="1">
      <w:start w:val="1"/>
      <w:numFmt w:val="lowerLetter"/>
      <w:lvlText w:val="%2."/>
      <w:lvlJc w:val="left"/>
      <w:pPr>
        <w:ind w:left="3501" w:hanging="360"/>
      </w:pPr>
    </w:lvl>
    <w:lvl w:ilvl="2" w:tplc="0409001B" w:tentative="1">
      <w:start w:val="1"/>
      <w:numFmt w:val="lowerRoman"/>
      <w:lvlText w:val="%3."/>
      <w:lvlJc w:val="right"/>
      <w:pPr>
        <w:ind w:left="4221" w:hanging="180"/>
      </w:pPr>
    </w:lvl>
    <w:lvl w:ilvl="3" w:tplc="0409000F" w:tentative="1">
      <w:start w:val="1"/>
      <w:numFmt w:val="decimal"/>
      <w:lvlText w:val="%4."/>
      <w:lvlJc w:val="left"/>
      <w:pPr>
        <w:ind w:left="4941" w:hanging="360"/>
      </w:pPr>
    </w:lvl>
    <w:lvl w:ilvl="4" w:tplc="04090019" w:tentative="1">
      <w:start w:val="1"/>
      <w:numFmt w:val="lowerLetter"/>
      <w:lvlText w:val="%5."/>
      <w:lvlJc w:val="left"/>
      <w:pPr>
        <w:ind w:left="5661" w:hanging="360"/>
      </w:pPr>
    </w:lvl>
    <w:lvl w:ilvl="5" w:tplc="0409001B" w:tentative="1">
      <w:start w:val="1"/>
      <w:numFmt w:val="lowerRoman"/>
      <w:lvlText w:val="%6."/>
      <w:lvlJc w:val="right"/>
      <w:pPr>
        <w:ind w:left="6381" w:hanging="180"/>
      </w:pPr>
    </w:lvl>
    <w:lvl w:ilvl="6" w:tplc="0409000F" w:tentative="1">
      <w:start w:val="1"/>
      <w:numFmt w:val="decimal"/>
      <w:lvlText w:val="%7."/>
      <w:lvlJc w:val="left"/>
      <w:pPr>
        <w:ind w:left="7101" w:hanging="360"/>
      </w:pPr>
    </w:lvl>
    <w:lvl w:ilvl="7" w:tplc="04090019" w:tentative="1">
      <w:start w:val="1"/>
      <w:numFmt w:val="lowerLetter"/>
      <w:lvlText w:val="%8."/>
      <w:lvlJc w:val="left"/>
      <w:pPr>
        <w:ind w:left="7821" w:hanging="360"/>
      </w:pPr>
    </w:lvl>
    <w:lvl w:ilvl="8" w:tplc="0409001B" w:tentative="1">
      <w:start w:val="1"/>
      <w:numFmt w:val="lowerRoman"/>
      <w:lvlText w:val="%9."/>
      <w:lvlJc w:val="right"/>
      <w:pPr>
        <w:ind w:left="8541" w:hanging="180"/>
      </w:pPr>
    </w:lvl>
  </w:abstractNum>
  <w:abstractNum w:abstractNumId="16">
    <w:nsid w:val="7A5145BF"/>
    <w:multiLevelType w:val="hybridMultilevel"/>
    <w:tmpl w:val="1382DF10"/>
    <w:lvl w:ilvl="0" w:tplc="06CE7A58">
      <w:start w:val="4"/>
      <w:numFmt w:val="bullet"/>
      <w:lvlText w:val="-"/>
      <w:lvlJc w:val="left"/>
      <w:pPr>
        <w:ind w:left="2061" w:hanging="360"/>
      </w:pPr>
      <w:rPr>
        <w:rFonts w:ascii="Trebuchet MS" w:eastAsia="MS Mincho" w:hAnsi="Trebuchet MS"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6"/>
  </w:num>
  <w:num w:numId="2">
    <w:abstractNumId w:val="4"/>
  </w:num>
  <w:num w:numId="3">
    <w:abstractNumId w:val="13"/>
  </w:num>
  <w:num w:numId="4">
    <w:abstractNumId w:val="15"/>
  </w:num>
  <w:num w:numId="5">
    <w:abstractNumId w:val="7"/>
  </w:num>
  <w:num w:numId="6">
    <w:abstractNumId w:val="11"/>
  </w:num>
  <w:num w:numId="7">
    <w:abstractNumId w:val="3"/>
  </w:num>
  <w:num w:numId="8">
    <w:abstractNumId w:val="12"/>
  </w:num>
  <w:num w:numId="9">
    <w:abstractNumId w:val="5"/>
  </w:num>
  <w:num w:numId="10">
    <w:abstractNumId w:val="9"/>
  </w:num>
  <w:num w:numId="11">
    <w:abstractNumId w:val="16"/>
  </w:num>
  <w:num w:numId="12">
    <w:abstractNumId w:val="2"/>
  </w:num>
  <w:num w:numId="13">
    <w:abstractNumId w:val="8"/>
  </w:num>
  <w:num w:numId="14">
    <w:abstractNumId w:val="14"/>
  </w:num>
  <w:num w:numId="15">
    <w:abstractNumId w:val="0"/>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7A5"/>
    <w:rsid w:val="00024F8D"/>
    <w:rsid w:val="0003659D"/>
    <w:rsid w:val="00041EE7"/>
    <w:rsid w:val="00072E84"/>
    <w:rsid w:val="00077355"/>
    <w:rsid w:val="000934FE"/>
    <w:rsid w:val="000A3C9B"/>
    <w:rsid w:val="000A5BF3"/>
    <w:rsid w:val="000B6258"/>
    <w:rsid w:val="000C6F69"/>
    <w:rsid w:val="000D58E9"/>
    <w:rsid w:val="000E368E"/>
    <w:rsid w:val="000F6457"/>
    <w:rsid w:val="00100F36"/>
    <w:rsid w:val="00102FFC"/>
    <w:rsid w:val="001242E8"/>
    <w:rsid w:val="0012656E"/>
    <w:rsid w:val="00135425"/>
    <w:rsid w:val="00147DBD"/>
    <w:rsid w:val="00164871"/>
    <w:rsid w:val="0017092D"/>
    <w:rsid w:val="00171B5D"/>
    <w:rsid w:val="00181322"/>
    <w:rsid w:val="00187EB0"/>
    <w:rsid w:val="001A149F"/>
    <w:rsid w:val="001A39E5"/>
    <w:rsid w:val="001A4628"/>
    <w:rsid w:val="001A54FE"/>
    <w:rsid w:val="001A6191"/>
    <w:rsid w:val="001C2794"/>
    <w:rsid w:val="001C2D62"/>
    <w:rsid w:val="001D7F09"/>
    <w:rsid w:val="001E4E16"/>
    <w:rsid w:val="001E7CB6"/>
    <w:rsid w:val="002103C4"/>
    <w:rsid w:val="002114C7"/>
    <w:rsid w:val="00212F20"/>
    <w:rsid w:val="00216301"/>
    <w:rsid w:val="002275AD"/>
    <w:rsid w:val="002449D0"/>
    <w:rsid w:val="00244A87"/>
    <w:rsid w:val="00244EB1"/>
    <w:rsid w:val="00250CBE"/>
    <w:rsid w:val="0026221C"/>
    <w:rsid w:val="00263106"/>
    <w:rsid w:val="00265EC4"/>
    <w:rsid w:val="00276B6C"/>
    <w:rsid w:val="00281492"/>
    <w:rsid w:val="00281BC0"/>
    <w:rsid w:val="00286E6C"/>
    <w:rsid w:val="00287530"/>
    <w:rsid w:val="00294B09"/>
    <w:rsid w:val="002A05D8"/>
    <w:rsid w:val="002A5371"/>
    <w:rsid w:val="002B168C"/>
    <w:rsid w:val="002B3B59"/>
    <w:rsid w:val="002C300E"/>
    <w:rsid w:val="002C4941"/>
    <w:rsid w:val="002D2025"/>
    <w:rsid w:val="002D27B6"/>
    <w:rsid w:val="002D3F52"/>
    <w:rsid w:val="002E2AB9"/>
    <w:rsid w:val="002E5D2D"/>
    <w:rsid w:val="002E7B2C"/>
    <w:rsid w:val="003045A7"/>
    <w:rsid w:val="00312FAE"/>
    <w:rsid w:val="0032038B"/>
    <w:rsid w:val="00321F96"/>
    <w:rsid w:val="00326790"/>
    <w:rsid w:val="00330429"/>
    <w:rsid w:val="00350B0A"/>
    <w:rsid w:val="0035686E"/>
    <w:rsid w:val="00371243"/>
    <w:rsid w:val="003847C2"/>
    <w:rsid w:val="00384DF6"/>
    <w:rsid w:val="00387459"/>
    <w:rsid w:val="003A3B5E"/>
    <w:rsid w:val="003B6ACC"/>
    <w:rsid w:val="003B78A4"/>
    <w:rsid w:val="003C138A"/>
    <w:rsid w:val="003C1ADE"/>
    <w:rsid w:val="003C4ECF"/>
    <w:rsid w:val="003C5B6B"/>
    <w:rsid w:val="003D15DC"/>
    <w:rsid w:val="003D2CEA"/>
    <w:rsid w:val="003D682F"/>
    <w:rsid w:val="003E6278"/>
    <w:rsid w:val="003F26D1"/>
    <w:rsid w:val="00400191"/>
    <w:rsid w:val="00420677"/>
    <w:rsid w:val="0042534B"/>
    <w:rsid w:val="00431C73"/>
    <w:rsid w:val="00440D03"/>
    <w:rsid w:val="00440D1F"/>
    <w:rsid w:val="00447064"/>
    <w:rsid w:val="00462904"/>
    <w:rsid w:val="00463A48"/>
    <w:rsid w:val="0046723D"/>
    <w:rsid w:val="0047448F"/>
    <w:rsid w:val="00481F69"/>
    <w:rsid w:val="004843E9"/>
    <w:rsid w:val="00486D7E"/>
    <w:rsid w:val="004A2D2D"/>
    <w:rsid w:val="004A32EB"/>
    <w:rsid w:val="004A79D4"/>
    <w:rsid w:val="004B4DE1"/>
    <w:rsid w:val="004C794B"/>
    <w:rsid w:val="004E0CA5"/>
    <w:rsid w:val="004E1070"/>
    <w:rsid w:val="004F104C"/>
    <w:rsid w:val="004F57C2"/>
    <w:rsid w:val="00502ACF"/>
    <w:rsid w:val="00504A0C"/>
    <w:rsid w:val="00505C27"/>
    <w:rsid w:val="005060D3"/>
    <w:rsid w:val="005179CA"/>
    <w:rsid w:val="00521097"/>
    <w:rsid w:val="00521762"/>
    <w:rsid w:val="005261A0"/>
    <w:rsid w:val="00530D63"/>
    <w:rsid w:val="00532E9C"/>
    <w:rsid w:val="00533AB8"/>
    <w:rsid w:val="00533F1C"/>
    <w:rsid w:val="00544BA1"/>
    <w:rsid w:val="00567B3F"/>
    <w:rsid w:val="0057145C"/>
    <w:rsid w:val="005729B2"/>
    <w:rsid w:val="00573494"/>
    <w:rsid w:val="005737F0"/>
    <w:rsid w:val="00576BF7"/>
    <w:rsid w:val="005977D0"/>
    <w:rsid w:val="005A40BA"/>
    <w:rsid w:val="005B1C24"/>
    <w:rsid w:val="005B3B14"/>
    <w:rsid w:val="005B69A2"/>
    <w:rsid w:val="005C13A3"/>
    <w:rsid w:val="005C7C2A"/>
    <w:rsid w:val="005D4997"/>
    <w:rsid w:val="005E1133"/>
    <w:rsid w:val="0060759E"/>
    <w:rsid w:val="00614C60"/>
    <w:rsid w:val="00615304"/>
    <w:rsid w:val="006403F8"/>
    <w:rsid w:val="006417E9"/>
    <w:rsid w:val="00644564"/>
    <w:rsid w:val="00650B6C"/>
    <w:rsid w:val="006532E7"/>
    <w:rsid w:val="00655E3E"/>
    <w:rsid w:val="0067606A"/>
    <w:rsid w:val="00683E8F"/>
    <w:rsid w:val="006849E6"/>
    <w:rsid w:val="00695386"/>
    <w:rsid w:val="00697B37"/>
    <w:rsid w:val="006B017B"/>
    <w:rsid w:val="006B1876"/>
    <w:rsid w:val="006B3315"/>
    <w:rsid w:val="006C1580"/>
    <w:rsid w:val="006D0C6A"/>
    <w:rsid w:val="006D2CD6"/>
    <w:rsid w:val="006D5550"/>
    <w:rsid w:val="006D5E5E"/>
    <w:rsid w:val="006E3E3A"/>
    <w:rsid w:val="006E5679"/>
    <w:rsid w:val="006F540A"/>
    <w:rsid w:val="006F7ED6"/>
    <w:rsid w:val="00701842"/>
    <w:rsid w:val="00705065"/>
    <w:rsid w:val="007058D1"/>
    <w:rsid w:val="007105F1"/>
    <w:rsid w:val="007260E4"/>
    <w:rsid w:val="007266FE"/>
    <w:rsid w:val="00726846"/>
    <w:rsid w:val="0073444C"/>
    <w:rsid w:val="00734781"/>
    <w:rsid w:val="0074064F"/>
    <w:rsid w:val="007443C8"/>
    <w:rsid w:val="007557B7"/>
    <w:rsid w:val="00766E0E"/>
    <w:rsid w:val="00770144"/>
    <w:rsid w:val="00790C37"/>
    <w:rsid w:val="00791517"/>
    <w:rsid w:val="0079350F"/>
    <w:rsid w:val="007A1630"/>
    <w:rsid w:val="007A2BD1"/>
    <w:rsid w:val="007B1801"/>
    <w:rsid w:val="007D0473"/>
    <w:rsid w:val="007D21E6"/>
    <w:rsid w:val="007D3814"/>
    <w:rsid w:val="007D3B13"/>
    <w:rsid w:val="007F3511"/>
    <w:rsid w:val="007F6DAB"/>
    <w:rsid w:val="00835B18"/>
    <w:rsid w:val="00843DEC"/>
    <w:rsid w:val="00855BD7"/>
    <w:rsid w:val="00864F30"/>
    <w:rsid w:val="0087015F"/>
    <w:rsid w:val="008714BF"/>
    <w:rsid w:val="008740D0"/>
    <w:rsid w:val="00882BDD"/>
    <w:rsid w:val="00891222"/>
    <w:rsid w:val="008A1B9B"/>
    <w:rsid w:val="008A4F47"/>
    <w:rsid w:val="008D35E8"/>
    <w:rsid w:val="008E674D"/>
    <w:rsid w:val="008F4D6C"/>
    <w:rsid w:val="008F543C"/>
    <w:rsid w:val="009040AD"/>
    <w:rsid w:val="00904BC9"/>
    <w:rsid w:val="00913784"/>
    <w:rsid w:val="0091460E"/>
    <w:rsid w:val="009157A5"/>
    <w:rsid w:val="0091680E"/>
    <w:rsid w:val="009227F0"/>
    <w:rsid w:val="00925DF3"/>
    <w:rsid w:val="00934B21"/>
    <w:rsid w:val="00936244"/>
    <w:rsid w:val="0093625E"/>
    <w:rsid w:val="00944BAD"/>
    <w:rsid w:val="00957A7C"/>
    <w:rsid w:val="00960229"/>
    <w:rsid w:val="009644B8"/>
    <w:rsid w:val="00967C22"/>
    <w:rsid w:val="00985A4E"/>
    <w:rsid w:val="009A6B0E"/>
    <w:rsid w:val="009B1228"/>
    <w:rsid w:val="009B74DD"/>
    <w:rsid w:val="009C4DA2"/>
    <w:rsid w:val="009D06F1"/>
    <w:rsid w:val="009D1C70"/>
    <w:rsid w:val="009D20B4"/>
    <w:rsid w:val="009D3894"/>
    <w:rsid w:val="009E5411"/>
    <w:rsid w:val="00A02DEA"/>
    <w:rsid w:val="00A11E4D"/>
    <w:rsid w:val="00A13948"/>
    <w:rsid w:val="00A24760"/>
    <w:rsid w:val="00A25BAE"/>
    <w:rsid w:val="00A31BEC"/>
    <w:rsid w:val="00A31C57"/>
    <w:rsid w:val="00A32EDC"/>
    <w:rsid w:val="00A334FF"/>
    <w:rsid w:val="00A365C9"/>
    <w:rsid w:val="00A55B55"/>
    <w:rsid w:val="00A56833"/>
    <w:rsid w:val="00A56FEC"/>
    <w:rsid w:val="00A609B2"/>
    <w:rsid w:val="00A67F7B"/>
    <w:rsid w:val="00A753CC"/>
    <w:rsid w:val="00A913AA"/>
    <w:rsid w:val="00A91A49"/>
    <w:rsid w:val="00A9752C"/>
    <w:rsid w:val="00AA0189"/>
    <w:rsid w:val="00AB13DA"/>
    <w:rsid w:val="00AC1B7A"/>
    <w:rsid w:val="00AD0B14"/>
    <w:rsid w:val="00AE26B4"/>
    <w:rsid w:val="00AE43EB"/>
    <w:rsid w:val="00AE5A68"/>
    <w:rsid w:val="00AF0031"/>
    <w:rsid w:val="00AF1692"/>
    <w:rsid w:val="00B06DC9"/>
    <w:rsid w:val="00B17A31"/>
    <w:rsid w:val="00B17ED0"/>
    <w:rsid w:val="00B213D0"/>
    <w:rsid w:val="00B22114"/>
    <w:rsid w:val="00B22B65"/>
    <w:rsid w:val="00B42EF4"/>
    <w:rsid w:val="00B61517"/>
    <w:rsid w:val="00B616E6"/>
    <w:rsid w:val="00B67A79"/>
    <w:rsid w:val="00B82622"/>
    <w:rsid w:val="00B835BF"/>
    <w:rsid w:val="00B932E5"/>
    <w:rsid w:val="00BA10A7"/>
    <w:rsid w:val="00BA3981"/>
    <w:rsid w:val="00BB0E8C"/>
    <w:rsid w:val="00BB2BFC"/>
    <w:rsid w:val="00BB2C88"/>
    <w:rsid w:val="00BC56F2"/>
    <w:rsid w:val="00BE1B6F"/>
    <w:rsid w:val="00BF0155"/>
    <w:rsid w:val="00BF201C"/>
    <w:rsid w:val="00BF410D"/>
    <w:rsid w:val="00BF5A2A"/>
    <w:rsid w:val="00BF692A"/>
    <w:rsid w:val="00C03900"/>
    <w:rsid w:val="00C0545D"/>
    <w:rsid w:val="00C2010E"/>
    <w:rsid w:val="00C20EF1"/>
    <w:rsid w:val="00C21602"/>
    <w:rsid w:val="00C21ED0"/>
    <w:rsid w:val="00C23819"/>
    <w:rsid w:val="00C31906"/>
    <w:rsid w:val="00C32906"/>
    <w:rsid w:val="00C4111A"/>
    <w:rsid w:val="00C45214"/>
    <w:rsid w:val="00C52C5A"/>
    <w:rsid w:val="00C5314F"/>
    <w:rsid w:val="00C53736"/>
    <w:rsid w:val="00C5690F"/>
    <w:rsid w:val="00C63F38"/>
    <w:rsid w:val="00C8016A"/>
    <w:rsid w:val="00C84565"/>
    <w:rsid w:val="00C87822"/>
    <w:rsid w:val="00CA53CB"/>
    <w:rsid w:val="00CA64F8"/>
    <w:rsid w:val="00CA78D8"/>
    <w:rsid w:val="00CC111F"/>
    <w:rsid w:val="00CC40D4"/>
    <w:rsid w:val="00CD0F06"/>
    <w:rsid w:val="00CD5B3B"/>
    <w:rsid w:val="00D06E9C"/>
    <w:rsid w:val="00D11B3A"/>
    <w:rsid w:val="00D20250"/>
    <w:rsid w:val="00D27A09"/>
    <w:rsid w:val="00D361F4"/>
    <w:rsid w:val="00D67855"/>
    <w:rsid w:val="00D67E44"/>
    <w:rsid w:val="00D70BEE"/>
    <w:rsid w:val="00D7235D"/>
    <w:rsid w:val="00D85001"/>
    <w:rsid w:val="00D929D3"/>
    <w:rsid w:val="00D939D7"/>
    <w:rsid w:val="00D96E76"/>
    <w:rsid w:val="00DA4DDF"/>
    <w:rsid w:val="00DA598B"/>
    <w:rsid w:val="00DC2A5E"/>
    <w:rsid w:val="00E0075F"/>
    <w:rsid w:val="00E02A7F"/>
    <w:rsid w:val="00E05BD0"/>
    <w:rsid w:val="00E13282"/>
    <w:rsid w:val="00E33E2A"/>
    <w:rsid w:val="00E35C4A"/>
    <w:rsid w:val="00E45CC4"/>
    <w:rsid w:val="00E50243"/>
    <w:rsid w:val="00E562FC"/>
    <w:rsid w:val="00E56BCB"/>
    <w:rsid w:val="00E617FB"/>
    <w:rsid w:val="00E6296B"/>
    <w:rsid w:val="00E95E00"/>
    <w:rsid w:val="00EA5AEF"/>
    <w:rsid w:val="00EA798C"/>
    <w:rsid w:val="00EB1467"/>
    <w:rsid w:val="00EB717E"/>
    <w:rsid w:val="00EC5398"/>
    <w:rsid w:val="00ED2BC9"/>
    <w:rsid w:val="00EE3CF4"/>
    <w:rsid w:val="00EE6A01"/>
    <w:rsid w:val="00F00B16"/>
    <w:rsid w:val="00F02CB3"/>
    <w:rsid w:val="00F1460E"/>
    <w:rsid w:val="00F20E08"/>
    <w:rsid w:val="00F25877"/>
    <w:rsid w:val="00F30D41"/>
    <w:rsid w:val="00F310F4"/>
    <w:rsid w:val="00F46B1B"/>
    <w:rsid w:val="00F54D06"/>
    <w:rsid w:val="00F67FE2"/>
    <w:rsid w:val="00F85D39"/>
    <w:rsid w:val="00F87E85"/>
    <w:rsid w:val="00FA7C20"/>
    <w:rsid w:val="00FB2F56"/>
    <w:rsid w:val="00FB6D27"/>
    <w:rsid w:val="00FB6E55"/>
    <w:rsid w:val="00FC3374"/>
    <w:rsid w:val="00FC4606"/>
    <w:rsid w:val="00FC78E0"/>
    <w:rsid w:val="00FD4A10"/>
    <w:rsid w:val="00FD54CE"/>
    <w:rsid w:val="00FF0909"/>
    <w:rsid w:val="00FF4116"/>
    <w:rsid w:val="00FF58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4D84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35686E"/>
    <w:pPr>
      <w:spacing w:after="120" w:line="276" w:lineRule="auto"/>
      <w:ind w:left="1701"/>
      <w:jc w:val="both"/>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lang w:val="en-US" w:eastAsia="en-US"/>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531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14F"/>
    <w:rPr>
      <w:rFonts w:ascii="Tahoma" w:hAnsi="Tahoma" w:cs="Tahoma"/>
      <w:sz w:val="16"/>
      <w:szCs w:val="16"/>
      <w:lang w:val="en-US" w:eastAsia="en-US"/>
    </w:rPr>
  </w:style>
  <w:style w:type="paragraph" w:styleId="FootnoteText">
    <w:name w:val="footnote text"/>
    <w:basedOn w:val="Normal"/>
    <w:link w:val="FootnoteTextChar"/>
    <w:uiPriority w:val="99"/>
    <w:semiHidden/>
    <w:unhideWhenUsed/>
    <w:rsid w:val="004C79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C794B"/>
    <w:rPr>
      <w:rFonts w:ascii="Trebuchet MS" w:hAnsi="Trebuchet MS"/>
      <w:lang w:val="en-US" w:eastAsia="en-US"/>
    </w:rPr>
  </w:style>
  <w:style w:type="character" w:styleId="FootnoteReference">
    <w:name w:val="footnote reference"/>
    <w:aliases w:val="Footnote Reference Superscript Char1 Char Char Char Char Char,BVI fnr Char Char Char Char Char Char,Footnote symbol Char1 Char Char Char Char Char,SUPERS Char Char Char Char Char Char, BVI fnr Char Char Char Char Char Char Char"/>
    <w:basedOn w:val="DefaultParagraphFont"/>
    <w:uiPriority w:val="99"/>
    <w:unhideWhenUsed/>
    <w:rsid w:val="004C794B"/>
    <w:rPr>
      <w:vertAlign w:val="superscript"/>
    </w:rPr>
  </w:style>
  <w:style w:type="character" w:styleId="Hyperlink">
    <w:name w:val="Hyperlink"/>
    <w:basedOn w:val="DefaultParagraphFont"/>
    <w:uiPriority w:val="99"/>
    <w:unhideWhenUsed/>
    <w:rsid w:val="005D4997"/>
    <w:rPr>
      <w:color w:val="0000FF" w:themeColor="hyperlink"/>
      <w:u w:val="single"/>
    </w:rPr>
  </w:style>
  <w:style w:type="character" w:customStyle="1" w:styleId="apple-converted-space">
    <w:name w:val="apple-converted-space"/>
    <w:basedOn w:val="DefaultParagraphFont"/>
    <w:rsid w:val="00C21ED0"/>
  </w:style>
  <w:style w:type="paragraph" w:styleId="ListParagraph">
    <w:name w:val="List Paragraph"/>
    <w:basedOn w:val="Normal"/>
    <w:uiPriority w:val="34"/>
    <w:qFormat/>
    <w:rsid w:val="00447064"/>
    <w:pPr>
      <w:ind w:left="720"/>
      <w:contextualSpacing/>
    </w:pPr>
  </w:style>
  <w:style w:type="paragraph" w:styleId="NormalWeb">
    <w:name w:val="Normal (Web)"/>
    <w:basedOn w:val="Normal"/>
    <w:uiPriority w:val="99"/>
    <w:semiHidden/>
    <w:unhideWhenUsed/>
    <w:rsid w:val="00077355"/>
    <w:pPr>
      <w:spacing w:before="100" w:beforeAutospacing="1" w:after="100" w:afterAutospacing="1" w:line="240" w:lineRule="auto"/>
      <w:ind w:left="0"/>
      <w:jc w:val="left"/>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286E6C"/>
    <w:rPr>
      <w:color w:val="800080" w:themeColor="followedHyperlink"/>
      <w:u w:val="single"/>
    </w:rPr>
  </w:style>
  <w:style w:type="paragraph" w:customStyle="1" w:styleId="Default">
    <w:name w:val="Default"/>
    <w:rsid w:val="0047448F"/>
    <w:pPr>
      <w:autoSpaceDE w:val="0"/>
      <w:autoSpaceDN w:val="0"/>
      <w:adjustRightInd w:val="0"/>
    </w:pPr>
    <w:rPr>
      <w:rFonts w:ascii="Arial" w:hAnsi="Arial" w:cs="Arial"/>
      <w:color w:val="000000"/>
      <w:sz w:val="24"/>
      <w:szCs w:val="24"/>
      <w:lang w:val="en-US"/>
    </w:rPr>
  </w:style>
  <w:style w:type="paragraph" w:customStyle="1" w:styleId="CM1">
    <w:name w:val="CM1"/>
    <w:basedOn w:val="Default"/>
    <w:next w:val="Default"/>
    <w:uiPriority w:val="99"/>
    <w:rsid w:val="00A31BEC"/>
    <w:rPr>
      <w:rFonts w:ascii="Times New Roman" w:hAnsi="Times New Roman" w:cs="Times New Roman"/>
      <w:color w:val="auto"/>
    </w:rPr>
  </w:style>
  <w:style w:type="paragraph" w:customStyle="1" w:styleId="CM3">
    <w:name w:val="CM3"/>
    <w:basedOn w:val="Default"/>
    <w:next w:val="Default"/>
    <w:uiPriority w:val="99"/>
    <w:rsid w:val="00A31BEC"/>
    <w:rPr>
      <w:rFonts w:ascii="Times New Roman" w:hAnsi="Times New Roman" w:cs="Times New Roman"/>
      <w:color w:val="auto"/>
    </w:rPr>
  </w:style>
  <w:style w:type="paragraph" w:styleId="CommentText">
    <w:name w:val="annotation text"/>
    <w:basedOn w:val="Normal"/>
    <w:link w:val="CommentTextChar"/>
    <w:uiPriority w:val="99"/>
    <w:unhideWhenUsed/>
    <w:rsid w:val="00AB13DA"/>
    <w:pPr>
      <w:spacing w:after="200" w:line="240" w:lineRule="auto"/>
      <w:ind w:left="0"/>
      <w:jc w:val="left"/>
    </w:pPr>
    <w:rPr>
      <w:rFonts w:ascii="Calibri" w:eastAsia="Calibri" w:hAnsi="Calibri"/>
      <w:sz w:val="20"/>
      <w:szCs w:val="20"/>
      <w:lang w:val="ro-RO"/>
    </w:rPr>
  </w:style>
  <w:style w:type="character" w:customStyle="1" w:styleId="CommentTextChar">
    <w:name w:val="Comment Text Char"/>
    <w:basedOn w:val="DefaultParagraphFont"/>
    <w:link w:val="CommentText"/>
    <w:uiPriority w:val="99"/>
    <w:rsid w:val="00AB13DA"/>
    <w:rPr>
      <w:rFonts w:ascii="Calibri" w:eastAsia="Calibri" w:hAnsi="Calibri"/>
      <w:lang w:eastAsia="en-US"/>
    </w:rPr>
  </w:style>
  <w:style w:type="paragraph" w:customStyle="1" w:styleId="Bullet0">
    <w:name w:val="Bullet 0"/>
    <w:basedOn w:val="Normal"/>
    <w:rsid w:val="00287530"/>
    <w:pPr>
      <w:numPr>
        <w:numId w:val="13"/>
      </w:numPr>
      <w:spacing w:before="120" w:line="240" w:lineRule="auto"/>
    </w:pPr>
    <w:rPr>
      <w:rFonts w:ascii="Times New Roman" w:eastAsiaTheme="minorHAnsi" w:hAnsi="Times New Roman"/>
      <w:sz w:val="24"/>
      <w:lang w:val="ro-RO"/>
    </w:rPr>
  </w:style>
  <w:style w:type="paragraph" w:customStyle="1" w:styleId="Bullet1">
    <w:name w:val="Bullet 1"/>
    <w:basedOn w:val="Normal"/>
    <w:rsid w:val="00287530"/>
    <w:pPr>
      <w:numPr>
        <w:numId w:val="14"/>
      </w:numPr>
      <w:spacing w:before="120" w:line="240" w:lineRule="auto"/>
    </w:pPr>
    <w:rPr>
      <w:rFonts w:ascii="Times New Roman" w:eastAsiaTheme="minorHAnsi" w:hAnsi="Times New Roman"/>
      <w:sz w:val="24"/>
      <w:lang w:val="ro-RO"/>
    </w:rPr>
  </w:style>
  <w:style w:type="paragraph" w:customStyle="1" w:styleId="ManualHeading2">
    <w:name w:val="Manual Heading 2"/>
    <w:basedOn w:val="Normal"/>
    <w:next w:val="Normal"/>
    <w:rsid w:val="00505C27"/>
    <w:pPr>
      <w:keepNext/>
      <w:tabs>
        <w:tab w:val="left" w:pos="850"/>
      </w:tabs>
      <w:spacing w:before="120" w:line="240" w:lineRule="auto"/>
      <w:ind w:left="850" w:hanging="850"/>
      <w:outlineLvl w:val="1"/>
    </w:pPr>
    <w:rPr>
      <w:rFonts w:ascii="Times New Roman" w:eastAsiaTheme="minorHAnsi" w:hAnsi="Times New Roman"/>
      <w:b/>
      <w:sz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35686E"/>
    <w:pPr>
      <w:spacing w:after="120" w:line="276" w:lineRule="auto"/>
      <w:ind w:left="1701"/>
      <w:jc w:val="both"/>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lang w:val="en-US" w:eastAsia="en-US"/>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531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14F"/>
    <w:rPr>
      <w:rFonts w:ascii="Tahoma" w:hAnsi="Tahoma" w:cs="Tahoma"/>
      <w:sz w:val="16"/>
      <w:szCs w:val="16"/>
      <w:lang w:val="en-US" w:eastAsia="en-US"/>
    </w:rPr>
  </w:style>
  <w:style w:type="paragraph" w:styleId="FootnoteText">
    <w:name w:val="footnote text"/>
    <w:basedOn w:val="Normal"/>
    <w:link w:val="FootnoteTextChar"/>
    <w:uiPriority w:val="99"/>
    <w:semiHidden/>
    <w:unhideWhenUsed/>
    <w:rsid w:val="004C79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C794B"/>
    <w:rPr>
      <w:rFonts w:ascii="Trebuchet MS" w:hAnsi="Trebuchet MS"/>
      <w:lang w:val="en-US" w:eastAsia="en-US"/>
    </w:rPr>
  </w:style>
  <w:style w:type="character" w:styleId="FootnoteReference">
    <w:name w:val="footnote reference"/>
    <w:aliases w:val="Footnote Reference Superscript Char1 Char Char Char Char Char,BVI fnr Char Char Char Char Char Char,Footnote symbol Char1 Char Char Char Char Char,SUPERS Char Char Char Char Char Char, BVI fnr Char Char Char Char Char Char Char"/>
    <w:basedOn w:val="DefaultParagraphFont"/>
    <w:uiPriority w:val="99"/>
    <w:unhideWhenUsed/>
    <w:rsid w:val="004C794B"/>
    <w:rPr>
      <w:vertAlign w:val="superscript"/>
    </w:rPr>
  </w:style>
  <w:style w:type="character" w:styleId="Hyperlink">
    <w:name w:val="Hyperlink"/>
    <w:basedOn w:val="DefaultParagraphFont"/>
    <w:uiPriority w:val="99"/>
    <w:unhideWhenUsed/>
    <w:rsid w:val="005D4997"/>
    <w:rPr>
      <w:color w:val="0000FF" w:themeColor="hyperlink"/>
      <w:u w:val="single"/>
    </w:rPr>
  </w:style>
  <w:style w:type="character" w:customStyle="1" w:styleId="apple-converted-space">
    <w:name w:val="apple-converted-space"/>
    <w:basedOn w:val="DefaultParagraphFont"/>
    <w:rsid w:val="00C21ED0"/>
  </w:style>
  <w:style w:type="paragraph" w:styleId="ListParagraph">
    <w:name w:val="List Paragraph"/>
    <w:basedOn w:val="Normal"/>
    <w:uiPriority w:val="34"/>
    <w:qFormat/>
    <w:rsid w:val="00447064"/>
    <w:pPr>
      <w:ind w:left="720"/>
      <w:contextualSpacing/>
    </w:pPr>
  </w:style>
  <w:style w:type="paragraph" w:styleId="NormalWeb">
    <w:name w:val="Normal (Web)"/>
    <w:basedOn w:val="Normal"/>
    <w:uiPriority w:val="99"/>
    <w:semiHidden/>
    <w:unhideWhenUsed/>
    <w:rsid w:val="00077355"/>
    <w:pPr>
      <w:spacing w:before="100" w:beforeAutospacing="1" w:after="100" w:afterAutospacing="1" w:line="240" w:lineRule="auto"/>
      <w:ind w:left="0"/>
      <w:jc w:val="left"/>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286E6C"/>
    <w:rPr>
      <w:color w:val="800080" w:themeColor="followedHyperlink"/>
      <w:u w:val="single"/>
    </w:rPr>
  </w:style>
  <w:style w:type="paragraph" w:customStyle="1" w:styleId="Default">
    <w:name w:val="Default"/>
    <w:rsid w:val="0047448F"/>
    <w:pPr>
      <w:autoSpaceDE w:val="0"/>
      <w:autoSpaceDN w:val="0"/>
      <w:adjustRightInd w:val="0"/>
    </w:pPr>
    <w:rPr>
      <w:rFonts w:ascii="Arial" w:hAnsi="Arial" w:cs="Arial"/>
      <w:color w:val="000000"/>
      <w:sz w:val="24"/>
      <w:szCs w:val="24"/>
      <w:lang w:val="en-US"/>
    </w:rPr>
  </w:style>
  <w:style w:type="paragraph" w:customStyle="1" w:styleId="CM1">
    <w:name w:val="CM1"/>
    <w:basedOn w:val="Default"/>
    <w:next w:val="Default"/>
    <w:uiPriority w:val="99"/>
    <w:rsid w:val="00A31BEC"/>
    <w:rPr>
      <w:rFonts w:ascii="Times New Roman" w:hAnsi="Times New Roman" w:cs="Times New Roman"/>
      <w:color w:val="auto"/>
    </w:rPr>
  </w:style>
  <w:style w:type="paragraph" w:customStyle="1" w:styleId="CM3">
    <w:name w:val="CM3"/>
    <w:basedOn w:val="Default"/>
    <w:next w:val="Default"/>
    <w:uiPriority w:val="99"/>
    <w:rsid w:val="00A31BEC"/>
    <w:rPr>
      <w:rFonts w:ascii="Times New Roman" w:hAnsi="Times New Roman" w:cs="Times New Roman"/>
      <w:color w:val="auto"/>
    </w:rPr>
  </w:style>
  <w:style w:type="paragraph" w:styleId="CommentText">
    <w:name w:val="annotation text"/>
    <w:basedOn w:val="Normal"/>
    <w:link w:val="CommentTextChar"/>
    <w:uiPriority w:val="99"/>
    <w:unhideWhenUsed/>
    <w:rsid w:val="00AB13DA"/>
    <w:pPr>
      <w:spacing w:after="200" w:line="240" w:lineRule="auto"/>
      <w:ind w:left="0"/>
      <w:jc w:val="left"/>
    </w:pPr>
    <w:rPr>
      <w:rFonts w:ascii="Calibri" w:eastAsia="Calibri" w:hAnsi="Calibri"/>
      <w:sz w:val="20"/>
      <w:szCs w:val="20"/>
      <w:lang w:val="ro-RO"/>
    </w:rPr>
  </w:style>
  <w:style w:type="character" w:customStyle="1" w:styleId="CommentTextChar">
    <w:name w:val="Comment Text Char"/>
    <w:basedOn w:val="DefaultParagraphFont"/>
    <w:link w:val="CommentText"/>
    <w:uiPriority w:val="99"/>
    <w:rsid w:val="00AB13DA"/>
    <w:rPr>
      <w:rFonts w:ascii="Calibri" w:eastAsia="Calibri" w:hAnsi="Calibri"/>
      <w:lang w:eastAsia="en-US"/>
    </w:rPr>
  </w:style>
  <w:style w:type="paragraph" w:customStyle="1" w:styleId="Bullet0">
    <w:name w:val="Bullet 0"/>
    <w:basedOn w:val="Normal"/>
    <w:rsid w:val="00287530"/>
    <w:pPr>
      <w:numPr>
        <w:numId w:val="13"/>
      </w:numPr>
      <w:spacing w:before="120" w:line="240" w:lineRule="auto"/>
    </w:pPr>
    <w:rPr>
      <w:rFonts w:ascii="Times New Roman" w:eastAsiaTheme="minorHAnsi" w:hAnsi="Times New Roman"/>
      <w:sz w:val="24"/>
      <w:lang w:val="ro-RO"/>
    </w:rPr>
  </w:style>
  <w:style w:type="paragraph" w:customStyle="1" w:styleId="Bullet1">
    <w:name w:val="Bullet 1"/>
    <w:basedOn w:val="Normal"/>
    <w:rsid w:val="00287530"/>
    <w:pPr>
      <w:numPr>
        <w:numId w:val="14"/>
      </w:numPr>
      <w:spacing w:before="120" w:line="240" w:lineRule="auto"/>
    </w:pPr>
    <w:rPr>
      <w:rFonts w:ascii="Times New Roman" w:eastAsiaTheme="minorHAnsi" w:hAnsi="Times New Roman"/>
      <w:sz w:val="24"/>
      <w:lang w:val="ro-RO"/>
    </w:rPr>
  </w:style>
  <w:style w:type="paragraph" w:customStyle="1" w:styleId="ManualHeading2">
    <w:name w:val="Manual Heading 2"/>
    <w:basedOn w:val="Normal"/>
    <w:next w:val="Normal"/>
    <w:rsid w:val="00505C27"/>
    <w:pPr>
      <w:keepNext/>
      <w:tabs>
        <w:tab w:val="left" w:pos="850"/>
      </w:tabs>
      <w:spacing w:before="120" w:line="240" w:lineRule="auto"/>
      <w:ind w:left="850" w:hanging="850"/>
      <w:outlineLvl w:val="1"/>
    </w:pPr>
    <w:rPr>
      <w:rFonts w:ascii="Times New Roman" w:eastAsiaTheme="minorHAnsi" w:hAnsi="Times New Roman"/>
      <w:b/>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96986">
      <w:bodyDiv w:val="1"/>
      <w:marLeft w:val="0"/>
      <w:marRight w:val="0"/>
      <w:marTop w:val="0"/>
      <w:marBottom w:val="0"/>
      <w:divBdr>
        <w:top w:val="none" w:sz="0" w:space="0" w:color="auto"/>
        <w:left w:val="none" w:sz="0" w:space="0" w:color="auto"/>
        <w:bottom w:val="none" w:sz="0" w:space="0" w:color="auto"/>
        <w:right w:val="none" w:sz="0" w:space="0" w:color="auto"/>
      </w:divBdr>
    </w:div>
    <w:div w:id="327753815">
      <w:bodyDiv w:val="1"/>
      <w:marLeft w:val="0"/>
      <w:marRight w:val="0"/>
      <w:marTop w:val="0"/>
      <w:marBottom w:val="0"/>
      <w:divBdr>
        <w:top w:val="none" w:sz="0" w:space="0" w:color="auto"/>
        <w:left w:val="none" w:sz="0" w:space="0" w:color="auto"/>
        <w:bottom w:val="none" w:sz="0" w:space="0" w:color="auto"/>
        <w:right w:val="none" w:sz="0" w:space="0" w:color="auto"/>
      </w:divBdr>
      <w:divsChild>
        <w:div w:id="690305959">
          <w:marLeft w:val="0"/>
          <w:marRight w:val="0"/>
          <w:marTop w:val="0"/>
          <w:marBottom w:val="0"/>
          <w:divBdr>
            <w:top w:val="none" w:sz="0" w:space="0" w:color="auto"/>
            <w:left w:val="none" w:sz="0" w:space="0" w:color="auto"/>
            <w:bottom w:val="none" w:sz="0" w:space="0" w:color="auto"/>
            <w:right w:val="none" w:sz="0" w:space="0" w:color="auto"/>
          </w:divBdr>
        </w:div>
        <w:div w:id="245648069">
          <w:marLeft w:val="0"/>
          <w:marRight w:val="0"/>
          <w:marTop w:val="0"/>
          <w:marBottom w:val="0"/>
          <w:divBdr>
            <w:top w:val="none" w:sz="0" w:space="0" w:color="auto"/>
            <w:left w:val="none" w:sz="0" w:space="0" w:color="auto"/>
            <w:bottom w:val="none" w:sz="0" w:space="0" w:color="auto"/>
            <w:right w:val="none" w:sz="0" w:space="0" w:color="auto"/>
          </w:divBdr>
        </w:div>
      </w:divsChild>
    </w:div>
    <w:div w:id="713047704">
      <w:bodyDiv w:val="1"/>
      <w:marLeft w:val="0"/>
      <w:marRight w:val="0"/>
      <w:marTop w:val="0"/>
      <w:marBottom w:val="0"/>
      <w:divBdr>
        <w:top w:val="none" w:sz="0" w:space="0" w:color="auto"/>
        <w:left w:val="none" w:sz="0" w:space="0" w:color="auto"/>
        <w:bottom w:val="none" w:sz="0" w:space="0" w:color="auto"/>
        <w:right w:val="none" w:sz="0" w:space="0" w:color="auto"/>
      </w:divBdr>
    </w:div>
    <w:div w:id="748769352">
      <w:bodyDiv w:val="1"/>
      <w:marLeft w:val="0"/>
      <w:marRight w:val="0"/>
      <w:marTop w:val="0"/>
      <w:marBottom w:val="0"/>
      <w:divBdr>
        <w:top w:val="none" w:sz="0" w:space="0" w:color="auto"/>
        <w:left w:val="none" w:sz="0" w:space="0" w:color="auto"/>
        <w:bottom w:val="none" w:sz="0" w:space="0" w:color="auto"/>
        <w:right w:val="none" w:sz="0" w:space="0" w:color="auto"/>
      </w:divBdr>
    </w:div>
    <w:div w:id="914048312">
      <w:bodyDiv w:val="1"/>
      <w:marLeft w:val="0"/>
      <w:marRight w:val="0"/>
      <w:marTop w:val="0"/>
      <w:marBottom w:val="0"/>
      <w:divBdr>
        <w:top w:val="none" w:sz="0" w:space="0" w:color="auto"/>
        <w:left w:val="none" w:sz="0" w:space="0" w:color="auto"/>
        <w:bottom w:val="none" w:sz="0" w:space="0" w:color="auto"/>
        <w:right w:val="none" w:sz="0" w:space="0" w:color="auto"/>
      </w:divBdr>
      <w:divsChild>
        <w:div w:id="174154030">
          <w:marLeft w:val="0"/>
          <w:marRight w:val="0"/>
          <w:marTop w:val="0"/>
          <w:marBottom w:val="0"/>
          <w:divBdr>
            <w:top w:val="none" w:sz="0" w:space="0" w:color="auto"/>
            <w:left w:val="none" w:sz="0" w:space="0" w:color="auto"/>
            <w:bottom w:val="none" w:sz="0" w:space="0" w:color="auto"/>
            <w:right w:val="none" w:sz="0" w:space="0" w:color="auto"/>
          </w:divBdr>
        </w:div>
      </w:divsChild>
    </w:div>
    <w:div w:id="1161233292">
      <w:bodyDiv w:val="1"/>
      <w:marLeft w:val="0"/>
      <w:marRight w:val="0"/>
      <w:marTop w:val="0"/>
      <w:marBottom w:val="0"/>
      <w:divBdr>
        <w:top w:val="none" w:sz="0" w:space="0" w:color="auto"/>
        <w:left w:val="none" w:sz="0" w:space="0" w:color="auto"/>
        <w:bottom w:val="none" w:sz="0" w:space="0" w:color="auto"/>
        <w:right w:val="none" w:sz="0" w:space="0" w:color="auto"/>
      </w:divBdr>
      <w:divsChild>
        <w:div w:id="1776559707">
          <w:marLeft w:val="0"/>
          <w:marRight w:val="0"/>
          <w:marTop w:val="0"/>
          <w:marBottom w:val="0"/>
          <w:divBdr>
            <w:top w:val="none" w:sz="0" w:space="0" w:color="auto"/>
            <w:left w:val="none" w:sz="0" w:space="0" w:color="auto"/>
            <w:bottom w:val="none" w:sz="0" w:space="0" w:color="auto"/>
            <w:right w:val="none" w:sz="0" w:space="0" w:color="auto"/>
          </w:divBdr>
        </w:div>
        <w:div w:id="259415257">
          <w:marLeft w:val="0"/>
          <w:marRight w:val="0"/>
          <w:marTop w:val="0"/>
          <w:marBottom w:val="0"/>
          <w:divBdr>
            <w:top w:val="none" w:sz="0" w:space="0" w:color="auto"/>
            <w:left w:val="none" w:sz="0" w:space="0" w:color="auto"/>
            <w:bottom w:val="none" w:sz="0" w:space="0" w:color="auto"/>
            <w:right w:val="none" w:sz="0" w:space="0" w:color="auto"/>
          </w:divBdr>
        </w:div>
        <w:div w:id="2096240383">
          <w:marLeft w:val="0"/>
          <w:marRight w:val="0"/>
          <w:marTop w:val="0"/>
          <w:marBottom w:val="0"/>
          <w:divBdr>
            <w:top w:val="none" w:sz="0" w:space="0" w:color="auto"/>
            <w:left w:val="none" w:sz="0" w:space="0" w:color="auto"/>
            <w:bottom w:val="none" w:sz="0" w:space="0" w:color="auto"/>
            <w:right w:val="none" w:sz="0" w:space="0" w:color="auto"/>
          </w:divBdr>
        </w:div>
      </w:divsChild>
    </w:div>
    <w:div w:id="1387022428">
      <w:bodyDiv w:val="1"/>
      <w:marLeft w:val="0"/>
      <w:marRight w:val="0"/>
      <w:marTop w:val="0"/>
      <w:marBottom w:val="0"/>
      <w:divBdr>
        <w:top w:val="none" w:sz="0" w:space="0" w:color="auto"/>
        <w:left w:val="none" w:sz="0" w:space="0" w:color="auto"/>
        <w:bottom w:val="none" w:sz="0" w:space="0" w:color="auto"/>
        <w:right w:val="none" w:sz="0" w:space="0" w:color="auto"/>
      </w:divBdr>
    </w:div>
    <w:div w:id="1436051050">
      <w:bodyDiv w:val="1"/>
      <w:marLeft w:val="0"/>
      <w:marRight w:val="0"/>
      <w:marTop w:val="0"/>
      <w:marBottom w:val="0"/>
      <w:divBdr>
        <w:top w:val="none" w:sz="0" w:space="0" w:color="auto"/>
        <w:left w:val="none" w:sz="0" w:space="0" w:color="auto"/>
        <w:bottom w:val="none" w:sz="0" w:space="0" w:color="auto"/>
        <w:right w:val="none" w:sz="0" w:space="0" w:color="auto"/>
      </w:divBdr>
      <w:divsChild>
        <w:div w:id="1591037663">
          <w:marLeft w:val="0"/>
          <w:marRight w:val="0"/>
          <w:marTop w:val="0"/>
          <w:marBottom w:val="0"/>
          <w:divBdr>
            <w:top w:val="none" w:sz="0" w:space="0" w:color="auto"/>
            <w:left w:val="none" w:sz="0" w:space="0" w:color="auto"/>
            <w:bottom w:val="none" w:sz="0" w:space="0" w:color="auto"/>
            <w:right w:val="none" w:sz="0" w:space="0" w:color="auto"/>
          </w:divBdr>
        </w:div>
        <w:div w:id="1712992865">
          <w:marLeft w:val="0"/>
          <w:marRight w:val="0"/>
          <w:marTop w:val="0"/>
          <w:marBottom w:val="0"/>
          <w:divBdr>
            <w:top w:val="none" w:sz="0" w:space="0" w:color="auto"/>
            <w:left w:val="none" w:sz="0" w:space="0" w:color="auto"/>
            <w:bottom w:val="none" w:sz="0" w:space="0" w:color="auto"/>
            <w:right w:val="none" w:sz="0" w:space="0" w:color="auto"/>
          </w:divBdr>
        </w:div>
      </w:divsChild>
    </w:div>
    <w:div w:id="1614437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arilena.gubendreanu@mt.ro" TargetMode="External"/><Relationship Id="rId4" Type="http://schemas.microsoft.com/office/2007/relationships/stylesWithEffects" Target="stylesWithEffects.xml"/><Relationship Id="rId9" Type="http://schemas.openxmlformats.org/officeDocument/2006/relationships/hyperlink" Target="https://eur-lex.europa.eu/legal-content/EN/ALL/?uri=COM:2018:639:FIN"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transport/sites/transport/files/facts-fundings/studies/doc/2014-09-19-the-application-of-summertime-in-europ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olteanu\Desktop\identitate\foi_antet\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594B0-3814-4278-A8BC-994FFF82A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71</TotalTime>
  <Pages>4</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8338</CharactersWithSpaces>
  <SharedDoc>false</SharedDoc>
  <HLinks>
    <vt:vector size="12" baseType="variant">
      <vt:variant>
        <vt:i4>458786</vt:i4>
      </vt:variant>
      <vt:variant>
        <vt:i4>5514</vt:i4>
      </vt:variant>
      <vt:variant>
        <vt:i4>1026</vt:i4>
      </vt:variant>
      <vt:variant>
        <vt:i4>1</vt:i4>
      </vt:variant>
      <vt:variant>
        <vt:lpwstr>logo_antet_dep_energie_p2</vt:lpwstr>
      </vt:variant>
      <vt:variant>
        <vt:lpwstr/>
      </vt:variant>
      <vt:variant>
        <vt:i4>7798863</vt:i4>
      </vt:variant>
      <vt:variant>
        <vt:i4>7856</vt:i4>
      </vt:variant>
      <vt:variant>
        <vt:i4>1025</vt:i4>
      </vt:variant>
      <vt:variant>
        <vt:i4>1</vt:i4>
      </vt:variant>
      <vt:variant>
        <vt:lpwstr>logo_antet_dep_energie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 Olteanu</dc:creator>
  <cp:lastModifiedBy>stagiar daeri</cp:lastModifiedBy>
  <cp:revision>5</cp:revision>
  <cp:lastPrinted>2019-01-18T11:22:00Z</cp:lastPrinted>
  <dcterms:created xsi:type="dcterms:W3CDTF">2019-01-30T08:43:00Z</dcterms:created>
  <dcterms:modified xsi:type="dcterms:W3CDTF">2019-02-05T08:11:00Z</dcterms:modified>
</cp:coreProperties>
</file>